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ZBBJL【2025】001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default" w:ascii="宋体"/>
          <w:b/>
          <w:color w:val="auto"/>
          <w:sz w:val="52"/>
          <w:szCs w:val="52"/>
          <w:highlight w:val="none"/>
          <w:lang w:val="en-US" w:eastAsia="zh-CN"/>
        </w:rPr>
      </w:pPr>
      <w:r>
        <w:rPr>
          <w:rFonts w:hint="eastAsia" w:ascii="宋体"/>
          <w:b/>
          <w:color w:val="auto"/>
          <w:sz w:val="52"/>
          <w:szCs w:val="52"/>
          <w:highlight w:val="none"/>
          <w:lang w:eastAsia="zh-CN"/>
        </w:rPr>
        <w:t>张坝滨江路景观工程</w:t>
      </w:r>
      <w:r>
        <w:rPr>
          <w:rFonts w:hint="eastAsia" w:ascii="宋体"/>
          <w:b/>
          <w:color w:val="auto"/>
          <w:sz w:val="52"/>
          <w:szCs w:val="52"/>
          <w:highlight w:val="none"/>
          <w:lang w:val="en-US" w:eastAsia="zh-CN"/>
        </w:rPr>
        <w:t>PPP项目</w:t>
      </w:r>
    </w:p>
    <w:p>
      <w:pPr>
        <w:spacing w:line="360" w:lineRule="auto"/>
        <w:jc w:val="center"/>
        <w:rPr>
          <w:rFonts w:hint="eastAsia" w:ascii="宋体"/>
          <w:b/>
          <w:color w:val="auto"/>
          <w:sz w:val="52"/>
          <w:szCs w:val="52"/>
          <w:highlight w:val="none"/>
        </w:rPr>
      </w:pPr>
      <w:r>
        <w:rPr>
          <w:rFonts w:hint="eastAsia" w:ascii="宋体"/>
          <w:b/>
          <w:color w:val="auto"/>
          <w:sz w:val="52"/>
          <w:szCs w:val="52"/>
          <w:highlight w:val="none"/>
          <w:lang w:val="en-US" w:eastAsia="zh-CN"/>
        </w:rPr>
        <w:t>生物农药、有机肥</w:t>
      </w:r>
      <w:r>
        <w:rPr>
          <w:rFonts w:hint="eastAsia" w:ascii="宋体"/>
          <w:b/>
          <w:color w:val="auto"/>
          <w:sz w:val="52"/>
          <w:szCs w:val="52"/>
          <w:highlight w:val="none"/>
        </w:rPr>
        <w:t>采购</w:t>
      </w:r>
      <w:bookmarkStart w:id="81" w:name="_GoBack"/>
      <w:bookmarkEnd w:id="81"/>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泸州鼎商工程管理服务有限公司</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before="120" w:beforeLines="50" w:after="360" w:afterLines="150"/>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4413"/>
      <w:bookmarkStart w:id="3" w:name="_Toc91771146"/>
      <w:r>
        <w:rPr>
          <w:rFonts w:hint="eastAsia" w:ascii="黑体" w:hAnsi="黑体" w:eastAsia="黑体"/>
          <w:color w:val="auto"/>
          <w:sz w:val="36"/>
          <w:highlight w:val="none"/>
        </w:rPr>
        <w:t>第一章 询价邀请公告</w:t>
      </w:r>
      <w:bookmarkEnd w:id="2"/>
      <w:bookmarkEnd w:id="3"/>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eastAsia="zh-CN"/>
        </w:rPr>
        <w:t>张坝滨江路景观工程</w:t>
      </w:r>
      <w:r>
        <w:rPr>
          <w:rFonts w:hint="eastAsia"/>
          <w:bCs/>
          <w:color w:val="auto"/>
          <w:sz w:val="24"/>
          <w:highlight w:val="none"/>
          <w:u w:val="single"/>
          <w:lang w:val="en-US" w:eastAsia="zh-CN"/>
        </w:rPr>
        <w:t>PPP项目生物农药、有机肥采购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ZBBJL【2025】001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张坝滨江路景观工程</w:t>
      </w:r>
      <w:r>
        <w:rPr>
          <w:rFonts w:hint="eastAsia"/>
          <w:color w:val="auto"/>
          <w:sz w:val="24"/>
          <w:highlight w:val="none"/>
          <w:lang w:val="en-US" w:eastAsia="zh-CN"/>
        </w:rPr>
        <w:t>PPP项目有机农药、复合肥采购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eastAsia="zh-CN"/>
        </w:rPr>
        <w:t>泸州鼎商工程管理服务有限公司</w:t>
      </w:r>
      <w:r>
        <w:rPr>
          <w:color w:val="auto"/>
          <w:sz w:val="24"/>
          <w:highlight w:val="none"/>
        </w:rPr>
        <w:t>。</w:t>
      </w:r>
    </w:p>
    <w:p>
      <w:pPr>
        <w:spacing w:line="360" w:lineRule="auto"/>
        <w:ind w:firstLine="480" w:firstLineChars="200"/>
        <w:rPr>
          <w:rFonts w:hint="eastAsia" w:eastAsia="宋体"/>
          <w:color w:val="000000" w:themeColor="text1"/>
          <w:sz w:val="24"/>
          <w:highlight w:val="none"/>
          <w:shd w:val="clear" w:color="FFFFFF" w:fill="D9D9D9"/>
          <w:lang w:eastAsia="zh-CN"/>
          <w14:textFill>
            <w14:solidFill>
              <w14:schemeClr w14:val="tx1"/>
            </w14:solidFill>
          </w14:textFill>
        </w:rPr>
      </w:pPr>
      <w:r>
        <w:rPr>
          <w:color w:val="auto"/>
          <w:sz w:val="24"/>
          <w:highlight w:val="none"/>
        </w:rPr>
        <w:t>4.服务期限（工期）：</w:t>
      </w:r>
      <w:r>
        <w:rPr>
          <w:rFonts w:hint="eastAsia"/>
          <w:color w:val="auto"/>
          <w:sz w:val="24"/>
          <w:highlight w:val="none"/>
          <w:lang w:eastAsia="zh-CN"/>
        </w:rPr>
        <w:t>成交合同签订后，按采购人要求分批次供货。</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PPP融资</w:t>
      </w:r>
      <w:r>
        <w:rPr>
          <w:color w:val="auto"/>
          <w:sz w:val="24"/>
          <w:highlight w:val="none"/>
        </w:rPr>
        <w:t>资金，</w:t>
      </w:r>
      <w:r>
        <w:rPr>
          <w:b w:val="0"/>
          <w:bCs w:val="0"/>
          <w:color w:val="auto"/>
          <w:sz w:val="24"/>
          <w:szCs w:val="24"/>
          <w:highlight w:val="none"/>
        </w:rPr>
        <w:t>最高限价为</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213600.00元，最终金额按实际交付数量计算。</w:t>
      </w:r>
    </w:p>
    <w:p>
      <w:pPr>
        <w:spacing w:line="360" w:lineRule="auto"/>
        <w:ind w:firstLine="482" w:firstLineChars="200"/>
        <w:rPr>
          <w:b/>
          <w:color w:val="auto"/>
          <w:sz w:val="24"/>
          <w:highlight w:val="none"/>
        </w:rPr>
      </w:pPr>
      <w:r>
        <w:rPr>
          <w:b/>
          <w:color w:val="auto"/>
          <w:sz w:val="24"/>
          <w:highlight w:val="none"/>
        </w:rPr>
        <w:t>三、采购项目简介：</w:t>
      </w:r>
    </w:p>
    <w:p>
      <w:pPr>
        <w:spacing w:line="360" w:lineRule="auto"/>
        <w:ind w:firstLine="480" w:firstLineChars="200"/>
        <w:rPr>
          <w:b w:val="0"/>
          <w:bCs/>
          <w:color w:val="auto"/>
          <w:sz w:val="24"/>
          <w:highlight w:val="none"/>
        </w:rPr>
      </w:pPr>
      <w:r>
        <w:rPr>
          <w:rFonts w:hint="eastAsia"/>
          <w:b w:val="0"/>
          <w:bCs/>
          <w:color w:val="auto"/>
          <w:sz w:val="24"/>
          <w:highlight w:val="none"/>
        </w:rPr>
        <w:t>根据生产现场实际需要，张坝滨江路景观工程PPP项目现采购</w:t>
      </w:r>
      <w:r>
        <w:rPr>
          <w:rFonts w:hint="eastAsia"/>
          <w:b w:val="0"/>
          <w:bCs/>
          <w:color w:val="auto"/>
          <w:sz w:val="24"/>
          <w:highlight w:val="none"/>
          <w:lang w:val="en-US" w:eastAsia="zh-CN"/>
        </w:rPr>
        <w:t>2025</w:t>
      </w:r>
      <w:r>
        <w:rPr>
          <w:rFonts w:hint="eastAsia"/>
          <w:b w:val="0"/>
          <w:bCs/>
          <w:color w:val="auto"/>
          <w:sz w:val="24"/>
          <w:highlight w:val="none"/>
        </w:rPr>
        <w:t>年度</w:t>
      </w:r>
      <w:r>
        <w:rPr>
          <w:rFonts w:hint="eastAsia"/>
          <w:b w:val="0"/>
          <w:bCs/>
          <w:color w:val="auto"/>
          <w:sz w:val="24"/>
          <w:highlight w:val="none"/>
          <w:lang w:eastAsia="zh-CN"/>
        </w:rPr>
        <w:t>生物</w:t>
      </w:r>
      <w:r>
        <w:rPr>
          <w:rFonts w:hint="eastAsia"/>
          <w:b w:val="0"/>
          <w:bCs/>
          <w:color w:val="auto"/>
          <w:sz w:val="24"/>
          <w:highlight w:val="none"/>
        </w:rPr>
        <w:t>农药、</w:t>
      </w:r>
      <w:r>
        <w:rPr>
          <w:rFonts w:hint="eastAsia"/>
          <w:b w:val="0"/>
          <w:bCs/>
          <w:color w:val="auto"/>
          <w:sz w:val="24"/>
          <w:highlight w:val="none"/>
          <w:lang w:eastAsia="zh-CN"/>
        </w:rPr>
        <w:t>有机肥</w:t>
      </w:r>
      <w:r>
        <w:rPr>
          <w:rFonts w:hint="eastAsia"/>
          <w:b w:val="0"/>
          <w:bCs/>
          <w:color w:val="auto"/>
          <w:sz w:val="24"/>
          <w:highlight w:val="none"/>
        </w:rPr>
        <w:t>，由供货商分批次送到采购人指定地点，验收合格后收货。每次送达的货物均须在有效期内。</w:t>
      </w:r>
    </w:p>
    <w:p>
      <w:pPr>
        <w:spacing w:line="360" w:lineRule="auto"/>
        <w:ind w:firstLine="482" w:firstLineChars="200"/>
        <w:rPr>
          <w:b/>
          <w:color w:val="auto"/>
          <w:sz w:val="24"/>
          <w:highlight w:val="none"/>
        </w:rPr>
      </w:pPr>
      <w:r>
        <w:rPr>
          <w:b/>
          <w:color w:val="auto"/>
          <w:sz w:val="24"/>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eastAsia="宋体"/>
          <w:color w:val="auto"/>
          <w:spacing w:val="-11"/>
          <w:sz w:val="24"/>
          <w:highlight w:val="none"/>
          <w:lang w:val="en-US" w:eastAsia="zh-CN"/>
        </w:rPr>
        <w:t>泸州盛江投资发展有限公司网站https://www.lzsjtz.com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19"/>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19"/>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pStyle w:val="20"/>
        <w:numPr>
          <w:ilvl w:val="0"/>
          <w:numId w:val="0"/>
        </w:numPr>
        <w:tabs>
          <w:tab w:val="left" w:pos="1660"/>
        </w:tabs>
        <w:spacing w:before="47"/>
        <w:ind w:leftChars="200" w:firstLine="240" w:firstLineChars="1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7.1</w:t>
      </w:r>
      <w:r>
        <w:rPr>
          <w:rFonts w:ascii="Times New Roman" w:hAnsi="Times New Roman" w:eastAsia="宋体" w:cs="Times New Roman"/>
          <w:color w:val="auto"/>
          <w:kern w:val="2"/>
          <w:sz w:val="24"/>
          <w:szCs w:val="24"/>
          <w:highlight w:val="none"/>
          <w:lang w:val="en-US" w:eastAsia="zh-CN" w:bidi="ar-SA"/>
        </w:rPr>
        <w:t xml:space="preserve"> 供应商需提供有效期内的《农药经营许可证》</w:t>
      </w:r>
      <w:r>
        <w:rPr>
          <w:rFonts w:hint="eastAsia" w:ascii="Times New Roman" w:hAnsi="Times New Roman" w:eastAsia="宋体" w:cs="Times New Roman"/>
          <w:color w:val="auto"/>
          <w:kern w:val="2"/>
          <w:sz w:val="24"/>
          <w:szCs w:val="24"/>
          <w:highlight w:val="none"/>
          <w:lang w:val="en-US" w:eastAsia="zh-CN" w:bidi="ar-SA"/>
        </w:rPr>
        <w:t>；</w:t>
      </w:r>
    </w:p>
    <w:p>
      <w:pPr>
        <w:pStyle w:val="20"/>
        <w:numPr>
          <w:ilvl w:val="0"/>
          <w:numId w:val="0"/>
        </w:numPr>
        <w:tabs>
          <w:tab w:val="left" w:pos="1660"/>
        </w:tabs>
        <w:spacing w:before="47"/>
        <w:ind w:leftChars="200" w:firstLine="240" w:firstLineChars="1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7.2生物</w:t>
      </w:r>
      <w:r>
        <w:rPr>
          <w:rFonts w:ascii="Times New Roman" w:hAnsi="Times New Roman" w:eastAsia="宋体" w:cs="Times New Roman"/>
          <w:color w:val="auto"/>
          <w:kern w:val="2"/>
          <w:sz w:val="24"/>
          <w:szCs w:val="24"/>
          <w:highlight w:val="none"/>
          <w:lang w:val="en-US" w:eastAsia="zh-CN" w:bidi="ar-SA"/>
        </w:rPr>
        <w:t>农药需要提供生产厂家农药登记证复印件或中华人民共和国农业农村部 http://zdscxx.moa.gov.cn:8080/nyb/pc/link.jsp?id=1 备案截图</w:t>
      </w:r>
      <w:r>
        <w:rPr>
          <w:rFonts w:hint="eastAsia" w:ascii="Times New Roman" w:hAnsi="Times New Roman" w:eastAsia="宋体" w:cs="Times New Roman"/>
          <w:color w:val="auto"/>
          <w:kern w:val="2"/>
          <w:sz w:val="24"/>
          <w:szCs w:val="24"/>
          <w:highlight w:val="none"/>
          <w:lang w:val="en-US" w:eastAsia="zh-CN" w:bidi="ar-SA"/>
        </w:rPr>
        <w:t>；</w:t>
      </w:r>
    </w:p>
    <w:p>
      <w:pPr>
        <w:spacing w:line="360" w:lineRule="auto"/>
        <w:ind w:firstLine="480" w:firstLineChars="2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7.3有机肥</w:t>
      </w:r>
      <w:r>
        <w:rPr>
          <w:rFonts w:ascii="Times New Roman" w:hAnsi="Times New Roman" w:eastAsia="宋体" w:cs="Times New Roman"/>
          <w:color w:val="auto"/>
          <w:kern w:val="2"/>
          <w:sz w:val="24"/>
          <w:szCs w:val="24"/>
          <w:highlight w:val="none"/>
          <w:lang w:val="en-US" w:eastAsia="zh-CN" w:bidi="ar-SA"/>
        </w:rPr>
        <w:t xml:space="preserve">需要提供生产厂家肥料登记证复印件或中华人民共和国农业农村部 </w:t>
      </w:r>
      <w:r>
        <w:rPr>
          <w:rFonts w:ascii="Times New Roman" w:hAnsi="Times New Roman" w:eastAsia="宋体" w:cs="Times New Roman"/>
          <w:color w:val="auto"/>
          <w:kern w:val="2"/>
          <w:sz w:val="24"/>
          <w:szCs w:val="24"/>
          <w:highlight w:val="none"/>
          <w:lang w:val="en-US" w:eastAsia="zh-CN" w:bidi="ar-SA"/>
        </w:rPr>
        <w:fldChar w:fldCharType="begin"/>
      </w:r>
      <w:r>
        <w:rPr>
          <w:rFonts w:ascii="Times New Roman" w:hAnsi="Times New Roman" w:eastAsia="宋体" w:cs="Times New Roman"/>
          <w:color w:val="auto"/>
          <w:kern w:val="2"/>
          <w:sz w:val="24"/>
          <w:szCs w:val="24"/>
          <w:highlight w:val="none"/>
          <w:lang w:val="en-US" w:eastAsia="zh-CN" w:bidi="ar-SA"/>
        </w:rPr>
        <w:instrText xml:space="preserve"> HYPERLINK "http://202.127.42.127/moafer/list.js" \h </w:instrText>
      </w:r>
      <w:r>
        <w:rPr>
          <w:rFonts w:ascii="Times New Roman" w:hAnsi="Times New Roman" w:eastAsia="宋体" w:cs="Times New Roman"/>
          <w:color w:val="auto"/>
          <w:kern w:val="2"/>
          <w:sz w:val="24"/>
          <w:szCs w:val="24"/>
          <w:highlight w:val="none"/>
          <w:lang w:val="en-US" w:eastAsia="zh-CN" w:bidi="ar-SA"/>
        </w:rPr>
        <w:fldChar w:fldCharType="separate"/>
      </w:r>
      <w:r>
        <w:rPr>
          <w:rFonts w:ascii="Times New Roman" w:hAnsi="Times New Roman" w:eastAsia="宋体" w:cs="Times New Roman"/>
          <w:color w:val="auto"/>
          <w:kern w:val="2"/>
          <w:sz w:val="24"/>
          <w:szCs w:val="24"/>
          <w:highlight w:val="none"/>
          <w:lang w:val="en-US" w:eastAsia="zh-CN" w:bidi="ar-SA"/>
        </w:rPr>
        <w:t>http://202.127.42.127/moafer/list.js</w:t>
      </w:r>
      <w:r>
        <w:rPr>
          <w:rFonts w:ascii="Times New Roman" w:hAnsi="Times New Roman" w:eastAsia="宋体" w:cs="Times New Roman"/>
          <w:color w:val="auto"/>
          <w:kern w:val="2"/>
          <w:sz w:val="24"/>
          <w:szCs w:val="24"/>
          <w:highlight w:val="none"/>
          <w:lang w:val="en-US" w:eastAsia="zh-CN" w:bidi="ar-SA"/>
        </w:rPr>
        <w:fldChar w:fldCharType="end"/>
      </w:r>
      <w:r>
        <w:rPr>
          <w:rFonts w:ascii="Times New Roman" w:hAnsi="Times New Roman" w:eastAsia="宋体" w:cs="Times New Roman"/>
          <w:color w:val="auto"/>
          <w:kern w:val="2"/>
          <w:sz w:val="24"/>
          <w:szCs w:val="24"/>
          <w:highlight w:val="none"/>
          <w:lang w:val="en-US" w:eastAsia="zh-CN" w:bidi="ar-SA"/>
        </w:rPr>
        <w:t>备案截图。</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eastAsia="宋体"/>
          <w:color w:val="auto"/>
          <w:spacing w:val="-11"/>
          <w:sz w:val="24"/>
          <w:highlight w:val="none"/>
          <w:lang w:val="en-US" w:eastAsia="zh-CN"/>
        </w:rPr>
        <w:t>泸州盛江投资发展有限公司网站https://www.lzsjtz.com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 xml:space="preserve"> 9</w:t>
      </w:r>
      <w:r>
        <w:rPr>
          <w:bCs/>
          <w:color w:val="auto"/>
          <w:sz w:val="24"/>
          <w:highlight w:val="none"/>
        </w:rPr>
        <w:t>月</w:t>
      </w:r>
      <w:r>
        <w:rPr>
          <w:rFonts w:hint="eastAsia"/>
          <w:bCs/>
          <w:color w:val="auto"/>
          <w:sz w:val="24"/>
          <w:highlight w:val="none"/>
          <w:lang w:val="en-US" w:eastAsia="zh-CN"/>
        </w:rPr>
        <w:t>18</w:t>
      </w:r>
      <w:r>
        <w:rPr>
          <w:bCs/>
          <w:color w:val="auto"/>
          <w:sz w:val="24"/>
          <w:highlight w:val="none"/>
        </w:rPr>
        <w:t>日</w:t>
      </w:r>
      <w:r>
        <w:rPr>
          <w:rFonts w:hint="eastAsia"/>
          <w:bCs/>
          <w:color w:val="auto"/>
          <w:sz w:val="24"/>
          <w:highlight w:val="none"/>
          <w:lang w:val="en-US" w:eastAsia="zh-CN"/>
        </w:rPr>
        <w:t>9:00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4"/>
          <w:rFonts w:hint="eastAsia" w:ascii="宋体" w:hAnsi="宋体" w:eastAsia="宋体" w:cs="宋体"/>
          <w:b/>
          <w:bCs/>
          <w:color w:val="auto"/>
          <w:sz w:val="24"/>
          <w:szCs w:val="24"/>
          <w:highlight w:val="none"/>
          <w:u w:val="none"/>
          <w:lang w:eastAsia="zh-CN"/>
        </w:rPr>
        <w:t>□</w:t>
      </w:r>
      <w:r>
        <w:rPr>
          <w:rStyle w:val="14"/>
          <w:rFonts w:hint="eastAsia" w:ascii="宋体" w:hAnsi="宋体" w:eastAsia="宋体" w:cs="宋体"/>
          <w:bCs/>
          <w:color w:val="auto"/>
          <w:sz w:val="24"/>
          <w:szCs w:val="24"/>
          <w:highlight w:val="none"/>
          <w:u w:val="none"/>
        </w:rPr>
        <w:t>本次采购</w:t>
      </w:r>
      <w:r>
        <w:rPr>
          <w:rStyle w:val="14"/>
          <w:rFonts w:hint="eastAsia" w:ascii="宋体" w:hAnsi="宋体" w:eastAsia="宋体" w:cs="宋体"/>
          <w:bCs/>
          <w:color w:val="auto"/>
          <w:sz w:val="24"/>
          <w:szCs w:val="24"/>
          <w:highlight w:val="none"/>
          <w:u w:val="none"/>
          <w:lang w:val="en-US" w:eastAsia="zh-CN"/>
        </w:rPr>
        <w:t>只</w:t>
      </w:r>
      <w:r>
        <w:rPr>
          <w:rStyle w:val="14"/>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4"/>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和</w:t>
      </w:r>
      <w:r>
        <w:rPr>
          <w:rStyle w:val="14"/>
          <w:rFonts w:hint="eastAsia" w:ascii="宋体" w:hAnsi="宋体" w:eastAsia="宋体" w:cs="宋体"/>
          <w:bCs/>
          <w:color w:val="auto"/>
          <w:sz w:val="24"/>
          <w:szCs w:val="24"/>
          <w:highlight w:val="none"/>
          <w:u w:val="none"/>
        </w:rPr>
        <w:t>电子邮箱</w:t>
      </w:r>
      <w:r>
        <w:rPr>
          <w:rStyle w:val="14"/>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4"/>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泸州市江阳区张坝桂圆林西门综合楼泸州兴阳投资集团有限公司2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color w:val="auto"/>
          <w:sz w:val="24"/>
          <w:highlight w:val="none"/>
          <w:lang w:eastAsia="zh-CN"/>
        </w:rPr>
        <w:t>泸州鼎商工程管理服务有限公司</w:t>
      </w:r>
    </w:p>
    <w:p>
      <w:pPr>
        <w:pStyle w:val="19"/>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eastAsia="zh-CN"/>
        </w:rPr>
        <w:t>泸州市江阳区张坝滨江路公交车终点站</w:t>
      </w:r>
    </w:p>
    <w:p>
      <w:pPr>
        <w:pStyle w:val="19"/>
        <w:ind w:firstLine="480"/>
        <w:rPr>
          <w:color w:val="auto"/>
          <w:sz w:val="24"/>
          <w:highlight w:val="none"/>
        </w:rPr>
      </w:pPr>
      <w:r>
        <w:rPr>
          <w:color w:val="auto"/>
          <w:sz w:val="24"/>
          <w:highlight w:val="none"/>
        </w:rPr>
        <w:t xml:space="preserve">联系人： </w:t>
      </w:r>
      <w:r>
        <w:rPr>
          <w:rFonts w:hint="eastAsia"/>
          <w:color w:val="auto"/>
          <w:sz w:val="24"/>
          <w:highlight w:val="none"/>
          <w:lang w:eastAsia="zh-CN"/>
        </w:rPr>
        <w:t>马女士</w:t>
      </w:r>
    </w:p>
    <w:p>
      <w:pPr>
        <w:pStyle w:val="19"/>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13438585366</w:t>
      </w:r>
      <w:r>
        <w:rPr>
          <w:color w:val="auto"/>
          <w:sz w:val="24"/>
          <w:highlight w:val="none"/>
        </w:rPr>
        <w:t xml:space="preserve">            </w:t>
      </w:r>
    </w:p>
    <w:p>
      <w:pPr>
        <w:pStyle w:val="10"/>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0"/>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0"/>
        <w:spacing w:before="0" w:beforeAutospacing="0" w:after="0" w:afterAutospacing="0" w:line="360" w:lineRule="auto"/>
        <w:ind w:firstLine="5520" w:firstLineChars="2300"/>
        <w:rPr>
          <w:rFonts w:ascii="Times New Roman" w:hAnsi="Times New Roman"/>
          <w:color w:val="auto"/>
          <w:sz w:val="24"/>
          <w:szCs w:val="24"/>
          <w:highlight w:val="none"/>
        </w:rPr>
      </w:pPr>
    </w:p>
    <w:p>
      <w:pPr>
        <w:pStyle w:val="10"/>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年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 xml:space="preserve"> 12</w:t>
      </w:r>
      <w:r>
        <w:rPr>
          <w:rFonts w:ascii="Times New Roman" w:hAnsi="Times New Roman"/>
          <w:color w:val="auto"/>
          <w:sz w:val="24"/>
          <w:szCs w:val="24"/>
          <w:highlight w:val="none"/>
        </w:rPr>
        <w:t>日</w:t>
      </w:r>
    </w:p>
    <w:p>
      <w:pPr>
        <w:pStyle w:val="10"/>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 w:name="_Toc91771147"/>
      <w:bookmarkStart w:id="5" w:name="_Toc8257"/>
      <w:r>
        <w:rPr>
          <w:rFonts w:hint="eastAsia" w:ascii="黑体" w:hAnsi="黑体" w:eastAsia="黑体"/>
          <w:color w:val="auto"/>
          <w:sz w:val="36"/>
          <w:highlight w:val="none"/>
        </w:rPr>
        <w:t>第二章 询价须知</w:t>
      </w:r>
      <w:bookmarkEnd w:id="4"/>
      <w:bookmarkEnd w:id="5"/>
    </w:p>
    <w:p>
      <w:pPr>
        <w:spacing w:after="240" w:afterLines="100"/>
        <w:jc w:val="center"/>
        <w:outlineLvl w:val="1"/>
        <w:rPr>
          <w:rFonts w:hint="eastAsia" w:ascii="宋体" w:hAnsi="宋体"/>
          <w:b/>
          <w:color w:val="auto"/>
          <w:sz w:val="32"/>
          <w:highlight w:val="none"/>
        </w:rPr>
      </w:pPr>
      <w:bookmarkStart w:id="6" w:name="_Toc17277"/>
      <w:bookmarkStart w:id="7" w:name="_Toc91771148"/>
      <w:r>
        <w:rPr>
          <w:rFonts w:hint="eastAsia" w:ascii="宋体" w:hAnsi="宋体"/>
          <w:b/>
          <w:color w:val="auto"/>
          <w:sz w:val="32"/>
          <w:highlight w:val="none"/>
        </w:rPr>
        <w:t>一、供应商须知前附表</w:t>
      </w:r>
      <w:bookmarkEnd w:id="6"/>
      <w:bookmarkEnd w:id="7"/>
    </w:p>
    <w:tbl>
      <w:tblPr>
        <w:tblStyle w:val="1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1"/>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1"/>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采购预算</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213600.00</w:t>
            </w:r>
            <w:r>
              <w:rPr>
                <w:rFonts w:hint="eastAsia"/>
                <w:color w:val="auto"/>
                <w:highlight w:val="none"/>
                <w:lang w:val="zh-CN"/>
              </w:rPr>
              <w:t>元；</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最高限价</w:t>
            </w:r>
          </w:p>
          <w:p>
            <w:pPr>
              <w:pStyle w:val="21"/>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213600.00</w:t>
            </w:r>
            <w:r>
              <w:rPr>
                <w:rFonts w:hint="eastAsia"/>
                <w:color w:val="auto"/>
                <w:highlight w:val="none"/>
                <w:lang w:val="zh-CN"/>
              </w:rPr>
              <w:t>元；</w:t>
            </w:r>
          </w:p>
          <w:p>
            <w:pPr>
              <w:pStyle w:val="21"/>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1"/>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1"/>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1"/>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1"/>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1"/>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1"/>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1"/>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、泸州兴阳投资集团有限公司</w:t>
            </w:r>
            <w:r>
              <w:rPr>
                <w:rFonts w:hint="eastAsia"/>
                <w:b/>
                <w:color w:val="auto"/>
                <w:highlight w:val="none"/>
              </w:rPr>
              <w:t>http://www.xytzjt.cn/</w:t>
            </w:r>
            <w:r>
              <w:rPr>
                <w:rFonts w:hint="eastAsia"/>
                <w:color w:val="auto"/>
                <w:highlight w:val="none"/>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1"/>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 xml:space="preserve">1000 </w:t>
            </w:r>
            <w:r>
              <w:rPr>
                <w:rFonts w:hint="eastAsia"/>
                <w:color w:val="auto"/>
                <w:highlight w:val="none"/>
                <w:lang w:bidi="ar"/>
              </w:rPr>
              <w:t>元（大写：</w:t>
            </w:r>
            <w:r>
              <w:rPr>
                <w:rFonts w:hint="eastAsia"/>
                <w:color w:val="auto"/>
                <w:highlight w:val="none"/>
                <w:lang w:eastAsia="zh-CN" w:bidi="ar"/>
              </w:rPr>
              <w:t>壹仟元</w:t>
            </w:r>
            <w:r>
              <w:rPr>
                <w:rFonts w:hint="eastAsia"/>
                <w:color w:val="auto"/>
                <w:highlight w:val="none"/>
                <w:lang w:bidi="ar"/>
              </w:rPr>
              <w:t>整）</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sz w:val="24"/>
                <w:szCs w:val="24"/>
              </w:rPr>
              <w:t>张坝滨江路景观工程PPP项目现采购</w:t>
            </w:r>
            <w:r>
              <w:rPr>
                <w:rFonts w:hint="eastAsia"/>
                <w:color w:val="auto"/>
                <w:sz w:val="24"/>
                <w:szCs w:val="24"/>
                <w:lang w:val="en-US" w:eastAsia="zh-CN"/>
              </w:rPr>
              <w:t>2025</w:t>
            </w:r>
            <w:r>
              <w:rPr>
                <w:rFonts w:hint="eastAsia"/>
                <w:color w:val="auto"/>
                <w:sz w:val="24"/>
                <w:szCs w:val="24"/>
              </w:rPr>
              <w:t>年</w:t>
            </w:r>
            <w:r>
              <w:rPr>
                <w:rFonts w:hint="eastAsia"/>
                <w:color w:val="auto"/>
                <w:sz w:val="24"/>
                <w:szCs w:val="24"/>
                <w:lang w:eastAsia="zh-CN"/>
              </w:rPr>
              <w:t>生物</w:t>
            </w:r>
            <w:r>
              <w:rPr>
                <w:rFonts w:hint="eastAsia"/>
                <w:color w:val="auto"/>
                <w:sz w:val="24"/>
                <w:szCs w:val="24"/>
              </w:rPr>
              <w:t>农药、</w:t>
            </w:r>
            <w:r>
              <w:rPr>
                <w:rFonts w:hint="eastAsia"/>
                <w:color w:val="auto"/>
                <w:sz w:val="24"/>
                <w:szCs w:val="24"/>
                <w:lang w:eastAsia="zh-CN"/>
              </w:rPr>
              <w:t>有机肥</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1"/>
              <w:spacing w:line="300" w:lineRule="auto"/>
              <w:ind w:firstLine="240" w:firstLineChars="100"/>
              <w:jc w:val="both"/>
              <w:rPr>
                <w:rFonts w:hint="eastAsia"/>
                <w:color w:val="auto"/>
                <w:highlight w:val="none"/>
              </w:rPr>
            </w:pPr>
            <w:r>
              <w:rPr>
                <w:rFonts w:hint="eastAsia"/>
                <w:color w:val="auto"/>
                <w:highlight w:val="none"/>
                <w:lang w:val="zh-CN"/>
              </w:rPr>
              <w:t>联系人：聂女士</w:t>
            </w:r>
            <w:r>
              <w:rPr>
                <w:rFonts w:hint="eastAsia"/>
                <w:color w:val="auto"/>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15196688161</w:t>
            </w:r>
            <w:r>
              <w:rPr>
                <w:rFonts w:hint="eastAsia"/>
                <w:color w:val="auto"/>
                <w:highlight w:val="none"/>
              </w:rPr>
              <w:t xml:space="preserve"> </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1"/>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pPr>
              <w:pStyle w:val="21"/>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5000元 ，大写：伍仟元整 。</w:t>
            </w:r>
          </w:p>
          <w:p>
            <w:pPr>
              <w:pStyle w:val="21"/>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收款单位：泸州鼎商工程管理服务有限公司。</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开 户 行：泸州市商业银行股份有限公司茜草分行。</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9200 0000 1189 8888</w:t>
            </w:r>
            <w:r>
              <w:rPr>
                <w:rFonts w:hint="eastAsia"/>
                <w:color w:val="auto"/>
                <w:highlight w:val="none"/>
                <w:lang w:val="zh-CN"/>
              </w:rPr>
              <w:t>。</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1"/>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1"/>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1"/>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eastAsia="宋体"/>
                <w:color w:val="auto"/>
                <w:spacing w:val="-11"/>
                <w:sz w:val="24"/>
                <w:highlight w:val="none"/>
                <w:lang w:val="en-US" w:eastAsia="zh-CN"/>
              </w:rPr>
              <w:t>泸州盛江投资发展有限公司网站https://www.lzsjtz.com</w:t>
            </w:r>
            <w:r>
              <w:rPr>
                <w:rFonts w:hint="eastAsia" w:cs="宋体"/>
                <w:color w:val="auto"/>
                <w:sz w:val="24"/>
                <w:szCs w:val="24"/>
                <w:highlight w:val="none"/>
                <w:lang w:val="zh-CN" w:bidi="ar"/>
              </w:rPr>
              <w:t>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凭有效身份证明证件到泸州市江阳区张坝桂圆林泸州鼎商工程管理有限公司领取成交通知书。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马女士</w:t>
            </w:r>
            <w:r>
              <w:rPr>
                <w:rFonts w:hint="eastAsia" w:ascii="宋体" w:hAnsi="宋体" w:cs="宋体"/>
                <w:color w:val="auto"/>
                <w:kern w:val="0"/>
                <w:sz w:val="24"/>
                <w:highlight w:val="none"/>
              </w:rPr>
              <w:t xml:space="preserve"> </w:t>
            </w:r>
          </w:p>
          <w:p>
            <w:pPr>
              <w:pStyle w:val="21"/>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1"/>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eastAsia="zh-CN"/>
              </w:rPr>
              <w:t>马女士</w:t>
            </w:r>
            <w:r>
              <w:rPr>
                <w:rFonts w:hint="eastAsia"/>
                <w:color w:val="auto"/>
                <w:highlight w:val="none"/>
              </w:rPr>
              <w:t xml:space="preserve"> 。</w:t>
            </w:r>
          </w:p>
          <w:p>
            <w:pPr>
              <w:pStyle w:val="21"/>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1"/>
              <w:spacing w:line="300" w:lineRule="auto"/>
              <w:ind w:firstLine="240" w:firstLineChars="100"/>
              <w:rPr>
                <w:rFonts w:hint="eastAsia"/>
                <w:color w:val="auto"/>
                <w:highlight w:val="none"/>
              </w:rPr>
            </w:pPr>
            <w:r>
              <w:rPr>
                <w:rFonts w:hint="eastAsia"/>
                <w:color w:val="auto"/>
                <w:highlight w:val="none"/>
                <w:lang w:val="zh-CN"/>
              </w:rPr>
              <w:t>联 系 人：马女士</w:t>
            </w:r>
          </w:p>
          <w:p>
            <w:pPr>
              <w:pStyle w:val="21"/>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13438585366</w:t>
            </w:r>
            <w:r>
              <w:rPr>
                <w:rFonts w:hint="eastAsia"/>
                <w:color w:val="auto"/>
                <w:highlight w:val="none"/>
              </w:rPr>
              <w:t xml:space="preserve"> </w:t>
            </w:r>
          </w:p>
          <w:p>
            <w:pPr>
              <w:pStyle w:val="21"/>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w:t>
            </w:r>
            <w:r>
              <w:rPr>
                <w:rFonts w:hint="eastAsia"/>
                <w:color w:val="auto"/>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19"/>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1"/>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w:t>
            </w:r>
          </w:p>
          <w:p>
            <w:pPr>
              <w:pStyle w:val="21"/>
              <w:spacing w:line="300" w:lineRule="auto"/>
              <w:rPr>
                <w:rFonts w:hint="eastAsia"/>
                <w:color w:val="auto"/>
                <w:highlight w:val="none"/>
                <w:lang w:val="zh-CN"/>
              </w:rPr>
            </w:pPr>
            <w:r>
              <w:rPr>
                <w:rFonts w:hint="eastAsia"/>
                <w:color w:val="auto"/>
                <w:highlight w:val="none"/>
                <w:lang w:val="zh-CN"/>
              </w:rPr>
              <w:t>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2025年9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9:00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eastAsia="zh-CN"/>
              </w:rPr>
              <w:t>成交合同签订后，按采购人要求供货（分批次）</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泸州市江阳区张坝桂圆林西门综合楼泸州兴阳投资集团有限公司2楼F02会议室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1"/>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1"/>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4"/>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8" w:name="_Toc91771149"/>
      <w:bookmarkStart w:id="9" w:name="_Toc4417"/>
      <w:r>
        <w:rPr>
          <w:rFonts w:hint="eastAsia" w:ascii="宋体" w:hAnsi="宋体"/>
          <w:b/>
          <w:color w:val="auto"/>
          <w:sz w:val="32"/>
          <w:highlight w:val="none"/>
        </w:rPr>
        <w:t>二、总则</w:t>
      </w:r>
      <w:bookmarkEnd w:id="8"/>
      <w:bookmarkEnd w:id="9"/>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2"/>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2"/>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4"/>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4"/>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4"/>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0" w:name="_Toc1537"/>
      <w:bookmarkStart w:id="11" w:name="_Toc91771150"/>
      <w:r>
        <w:rPr>
          <w:rFonts w:ascii="宋体" w:hAnsi="宋体"/>
          <w:b/>
          <w:color w:val="auto"/>
          <w:sz w:val="32"/>
          <w:highlight w:val="none"/>
        </w:rPr>
        <w:t>三、询价文件</w:t>
      </w:r>
      <w:bookmarkEnd w:id="10"/>
      <w:bookmarkEnd w:id="11"/>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bCs/>
          <w:color w:val="auto"/>
          <w:sz w:val="24"/>
          <w:highlight w:val="none"/>
        </w:rPr>
        <w:t>泸州兴阳投资集团有限公司网站http://www.xytzjt.cn/</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2" w:name="_Toc91771151"/>
      <w:bookmarkStart w:id="13" w:name="_Toc16459"/>
      <w:r>
        <w:rPr>
          <w:rFonts w:ascii="宋体" w:hAnsi="宋体"/>
          <w:b/>
          <w:color w:val="auto"/>
          <w:sz w:val="32"/>
          <w:highlight w:val="none"/>
        </w:rPr>
        <w:t>四、询价响应文件</w:t>
      </w:r>
      <w:bookmarkEnd w:id="12"/>
      <w:bookmarkEnd w:id="13"/>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5"/>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4" w:name="_Toc91771152"/>
      <w:bookmarkStart w:id="15" w:name="_Toc28609"/>
      <w:r>
        <w:rPr>
          <w:rFonts w:ascii="宋体" w:hAnsi="宋体"/>
          <w:b/>
          <w:color w:val="auto"/>
          <w:sz w:val="32"/>
          <w:highlight w:val="none"/>
        </w:rPr>
        <w:t>五、询价及评审过程</w:t>
      </w:r>
      <w:bookmarkEnd w:id="14"/>
      <w:bookmarkEnd w:id="15"/>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6" w:name="_Toc91771153"/>
      <w:bookmarkStart w:id="17" w:name="_Toc3730"/>
      <w:r>
        <w:rPr>
          <w:rFonts w:ascii="宋体" w:hAnsi="宋体"/>
          <w:b/>
          <w:color w:val="auto"/>
          <w:sz w:val="32"/>
          <w:highlight w:val="none"/>
        </w:rPr>
        <w:t>六、成交事项</w:t>
      </w:r>
      <w:bookmarkEnd w:id="16"/>
      <w:bookmarkEnd w:id="17"/>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8" w:name="_Toc91771154"/>
      <w:bookmarkStart w:id="19" w:name="_Toc4598"/>
      <w:r>
        <w:rPr>
          <w:rFonts w:ascii="宋体" w:hAnsi="宋体"/>
          <w:b/>
          <w:color w:val="auto"/>
          <w:sz w:val="32"/>
          <w:highlight w:val="none"/>
        </w:rPr>
        <w:t>七、合同事项</w:t>
      </w:r>
      <w:bookmarkEnd w:id="18"/>
      <w:bookmarkEnd w:id="19"/>
    </w:p>
    <w:p>
      <w:pPr>
        <w:spacing w:line="360" w:lineRule="auto"/>
        <w:rPr>
          <w:b/>
          <w:color w:val="auto"/>
          <w:sz w:val="24"/>
          <w:highlight w:val="none"/>
        </w:rPr>
      </w:pPr>
      <w:bookmarkStart w:id="20" w:name="_Toc209847069"/>
      <w:bookmarkStart w:id="21" w:name="_Toc430773927"/>
      <w:bookmarkStart w:id="22" w:name="_Toc101250646"/>
      <w:bookmarkStart w:id="23" w:name="_Toc101174151"/>
      <w:bookmarkStart w:id="24" w:name="_Toc101338364"/>
      <w:r>
        <w:rPr>
          <w:b/>
          <w:color w:val="auto"/>
          <w:sz w:val="24"/>
          <w:highlight w:val="none"/>
        </w:rPr>
        <w:t>25.签订合同</w:t>
      </w:r>
      <w:bookmarkEnd w:id="20"/>
      <w:bookmarkEnd w:id="21"/>
      <w:bookmarkEnd w:id="22"/>
      <w:bookmarkEnd w:id="23"/>
      <w:bookmarkEnd w:id="24"/>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5" w:name="_Toc29173"/>
      <w:bookmarkStart w:id="26" w:name="_Toc91771155"/>
      <w:r>
        <w:rPr>
          <w:rFonts w:ascii="宋体" w:hAnsi="宋体"/>
          <w:b/>
          <w:color w:val="auto"/>
          <w:sz w:val="32"/>
          <w:highlight w:val="none"/>
        </w:rPr>
        <w:t>八、询价纪律要求</w:t>
      </w:r>
      <w:bookmarkEnd w:id="25"/>
      <w:bookmarkEnd w:id="26"/>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7" w:name="_Toc13924"/>
      <w:bookmarkStart w:id="28" w:name="_Toc91771156"/>
      <w:r>
        <w:rPr>
          <w:rFonts w:ascii="宋体" w:hAnsi="宋体"/>
          <w:b/>
          <w:color w:val="auto"/>
          <w:sz w:val="32"/>
          <w:highlight w:val="none"/>
        </w:rPr>
        <w:t>九、询问、质疑和投诉</w:t>
      </w:r>
      <w:bookmarkEnd w:id="27"/>
      <w:bookmarkEnd w:id="2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29" w:name="_Toc91771157"/>
      <w:bookmarkStart w:id="30" w:name="_Toc4868"/>
      <w:r>
        <w:rPr>
          <w:rFonts w:ascii="宋体" w:hAnsi="宋体"/>
          <w:b/>
          <w:color w:val="auto"/>
          <w:sz w:val="32"/>
          <w:highlight w:val="none"/>
        </w:rPr>
        <w:t>十、其他</w:t>
      </w:r>
      <w:bookmarkEnd w:id="29"/>
      <w:bookmarkEnd w:id="30"/>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183682369"/>
      <w:bookmarkStart w:id="32" w:name="_Toc183582232"/>
      <w:bookmarkStart w:id="33" w:name="_Toc217446057"/>
      <w:r>
        <w:rPr>
          <w:rFonts w:ascii="黑体" w:hAnsi="黑体" w:eastAsia="黑体"/>
          <w:color w:val="auto"/>
          <w:sz w:val="36"/>
          <w:highlight w:val="none"/>
        </w:rPr>
        <w:br w:type="page"/>
      </w:r>
      <w:bookmarkStart w:id="34" w:name="_Toc14799"/>
      <w:bookmarkStart w:id="35" w:name="_Toc91771158"/>
      <w:r>
        <w:rPr>
          <w:rFonts w:hint="eastAsia" w:ascii="黑体" w:hAnsi="黑体" w:eastAsia="黑体"/>
          <w:color w:val="auto"/>
          <w:sz w:val="36"/>
          <w:highlight w:val="none"/>
        </w:rPr>
        <w:t>第三章 项目技术、服务及商务要求</w:t>
      </w:r>
      <w:bookmarkEnd w:id="34"/>
      <w:bookmarkEnd w:id="35"/>
    </w:p>
    <w:p>
      <w:pPr>
        <w:outlineLvl w:val="1"/>
        <w:rPr>
          <w:rFonts w:hint="eastAsia" w:ascii="宋体" w:hAnsi="宋体"/>
          <w:b/>
          <w:color w:val="auto"/>
          <w:sz w:val="32"/>
          <w:highlight w:val="none"/>
        </w:rPr>
      </w:pPr>
      <w:bookmarkStart w:id="36" w:name="_Toc8217"/>
      <w:bookmarkStart w:id="37" w:name="_Toc91771159"/>
      <w:r>
        <w:rPr>
          <w:rFonts w:hint="eastAsia" w:ascii="宋体" w:hAnsi="宋体"/>
          <w:b/>
          <w:color w:val="auto"/>
          <w:sz w:val="32"/>
          <w:highlight w:val="none"/>
        </w:rPr>
        <w:t>一、项目概况</w:t>
      </w:r>
      <w:bookmarkEnd w:id="36"/>
      <w:bookmarkEnd w:id="37"/>
    </w:p>
    <w:p>
      <w:pPr>
        <w:pStyle w:val="2"/>
        <w:spacing w:before="66" w:line="400" w:lineRule="exact"/>
        <w:ind w:right="890" w:firstLine="480" w:firstLineChars="200"/>
        <w:rPr>
          <w:rFonts w:hint="eastAsia" w:ascii="宋体" w:hAnsi="宋体"/>
          <w:b/>
          <w:color w:val="auto"/>
          <w:sz w:val="32"/>
          <w:highlight w:val="none"/>
        </w:rPr>
      </w:pPr>
      <w:bookmarkStart w:id="38" w:name="_Toc27434"/>
      <w:bookmarkStart w:id="39" w:name="_Toc91771160"/>
      <w:r>
        <w:rPr>
          <w:rFonts w:hint="eastAsia"/>
          <w:color w:val="auto"/>
          <w:sz w:val="24"/>
          <w:szCs w:val="24"/>
        </w:rPr>
        <w:t>根据生产现场实际需要，张坝滨江路景观工程PPP项目</w:t>
      </w:r>
      <w:r>
        <w:rPr>
          <w:rFonts w:hint="eastAsia"/>
          <w:color w:val="auto"/>
          <w:sz w:val="24"/>
          <w:szCs w:val="24"/>
          <w:lang w:val="en-US" w:eastAsia="zh-CN"/>
        </w:rPr>
        <w:t>需</w:t>
      </w:r>
      <w:r>
        <w:rPr>
          <w:rFonts w:hint="eastAsia"/>
          <w:color w:val="auto"/>
          <w:sz w:val="24"/>
          <w:szCs w:val="24"/>
        </w:rPr>
        <w:t>采购</w:t>
      </w:r>
      <w:r>
        <w:rPr>
          <w:rFonts w:hint="eastAsia"/>
          <w:color w:val="auto"/>
          <w:sz w:val="24"/>
          <w:szCs w:val="24"/>
          <w:lang w:val="en-US" w:eastAsia="zh-CN"/>
        </w:rPr>
        <w:t>2025</w:t>
      </w:r>
      <w:r>
        <w:rPr>
          <w:rFonts w:hint="eastAsia"/>
          <w:color w:val="auto"/>
          <w:sz w:val="24"/>
          <w:szCs w:val="24"/>
        </w:rPr>
        <w:t>年度</w:t>
      </w:r>
      <w:r>
        <w:rPr>
          <w:rFonts w:hint="eastAsia"/>
          <w:color w:val="auto"/>
          <w:sz w:val="24"/>
          <w:szCs w:val="24"/>
          <w:lang w:eastAsia="zh-CN"/>
        </w:rPr>
        <w:t>生物</w:t>
      </w:r>
      <w:r>
        <w:rPr>
          <w:rFonts w:hint="eastAsia"/>
          <w:color w:val="auto"/>
          <w:sz w:val="24"/>
          <w:szCs w:val="24"/>
        </w:rPr>
        <w:t>农药、</w:t>
      </w:r>
      <w:r>
        <w:rPr>
          <w:rFonts w:hint="eastAsia"/>
          <w:color w:val="auto"/>
          <w:sz w:val="24"/>
          <w:szCs w:val="24"/>
          <w:lang w:eastAsia="zh-CN"/>
        </w:rPr>
        <w:t>有机肥</w:t>
      </w:r>
      <w:r>
        <w:rPr>
          <w:rFonts w:hint="eastAsia"/>
          <w:color w:val="auto"/>
          <w:sz w:val="24"/>
          <w:szCs w:val="24"/>
        </w:rPr>
        <w:t>，由供货商分批次送到采购人指定地点，验收合格后收货。每次送达的货物均须在有效期内。</w:t>
      </w:r>
    </w:p>
    <w:p>
      <w:pPr>
        <w:numPr>
          <w:ilvl w:val="0"/>
          <w:numId w:val="1"/>
        </w:numPr>
        <w:outlineLvl w:val="1"/>
        <w:rPr>
          <w:rFonts w:hint="eastAsia" w:ascii="宋体" w:hAnsi="宋体"/>
          <w:b/>
          <w:color w:val="auto"/>
          <w:sz w:val="32"/>
          <w:highlight w:val="none"/>
        </w:rPr>
      </w:pPr>
      <w:r>
        <w:rPr>
          <w:rFonts w:hint="eastAsia" w:ascii="宋体" w:hAnsi="宋体"/>
          <w:b/>
          <w:color w:val="auto"/>
          <w:sz w:val="32"/>
          <w:highlight w:val="none"/>
        </w:rPr>
        <w:t>技术要求</w:t>
      </w:r>
      <w:bookmarkEnd w:id="38"/>
      <w:bookmarkEnd w:id="39"/>
    </w:p>
    <w:p>
      <w:pPr>
        <w:pStyle w:val="2"/>
        <w:numPr>
          <w:ilvl w:val="0"/>
          <w:numId w:val="0"/>
        </w:numPr>
        <w:jc w:val="right"/>
        <w:rPr>
          <w:rFonts w:hint="eastAsia"/>
          <w:color w:val="auto"/>
        </w:rPr>
      </w:pPr>
    </w:p>
    <w:p>
      <w:pPr>
        <w:ind w:right="31"/>
        <w:jc w:val="center"/>
        <w:rPr>
          <w:b w:val="0"/>
          <w:bCs w:val="0"/>
          <w:color w:val="auto"/>
          <w:sz w:val="28"/>
          <w:szCs w:val="28"/>
        </w:rPr>
      </w:pPr>
      <w:r>
        <w:rPr>
          <w:b w:val="0"/>
          <w:bCs w:val="0"/>
          <w:color w:val="auto"/>
          <w:sz w:val="28"/>
          <w:szCs w:val="28"/>
        </w:rPr>
        <w:t>张坝</w:t>
      </w:r>
      <w:r>
        <w:rPr>
          <w:rFonts w:hint="eastAsia"/>
          <w:b w:val="0"/>
          <w:bCs w:val="0"/>
          <w:color w:val="auto"/>
          <w:sz w:val="28"/>
          <w:szCs w:val="28"/>
        </w:rPr>
        <w:t>滨江路</w:t>
      </w:r>
      <w:r>
        <w:rPr>
          <w:b w:val="0"/>
          <w:bCs w:val="0"/>
          <w:color w:val="auto"/>
          <w:sz w:val="28"/>
          <w:szCs w:val="28"/>
        </w:rPr>
        <w:t>202</w:t>
      </w:r>
      <w:r>
        <w:rPr>
          <w:rFonts w:hint="eastAsia"/>
          <w:b w:val="0"/>
          <w:bCs w:val="0"/>
          <w:color w:val="auto"/>
          <w:sz w:val="28"/>
          <w:szCs w:val="28"/>
          <w:lang w:val="en-US" w:eastAsia="zh-CN"/>
        </w:rPr>
        <w:t>5</w:t>
      </w:r>
      <w:r>
        <w:rPr>
          <w:b w:val="0"/>
          <w:bCs w:val="0"/>
          <w:color w:val="auto"/>
          <w:sz w:val="28"/>
          <w:szCs w:val="28"/>
        </w:rPr>
        <w:t>年</w:t>
      </w:r>
      <w:r>
        <w:rPr>
          <w:rFonts w:hint="eastAsia"/>
          <w:b w:val="0"/>
          <w:bCs w:val="0"/>
          <w:color w:val="auto"/>
          <w:sz w:val="28"/>
          <w:szCs w:val="28"/>
          <w:lang w:eastAsia="zh-CN"/>
        </w:rPr>
        <w:t>生物农药、有机肥采购技术参数</w:t>
      </w:r>
      <w:r>
        <w:rPr>
          <w:b w:val="0"/>
          <w:bCs w:val="0"/>
          <w:color w:val="auto"/>
          <w:sz w:val="28"/>
          <w:szCs w:val="28"/>
        </w:rPr>
        <w:t>表</w:t>
      </w:r>
    </w:p>
    <w:tbl>
      <w:tblPr>
        <w:tblStyle w:val="11"/>
        <w:tblpPr w:leftFromText="180" w:rightFromText="180" w:vertAnchor="text" w:horzAnchor="page" w:tblpX="1374" w:tblpY="815"/>
        <w:tblOverlap w:val="never"/>
        <w:tblW w:w="4587" w:type="pct"/>
        <w:tblInd w:w="0" w:type="dxa"/>
        <w:tblLayout w:type="fixed"/>
        <w:tblCellMar>
          <w:top w:w="0" w:type="dxa"/>
          <w:left w:w="108" w:type="dxa"/>
          <w:bottom w:w="0" w:type="dxa"/>
          <w:right w:w="108" w:type="dxa"/>
        </w:tblCellMar>
      </w:tblPr>
      <w:tblGrid>
        <w:gridCol w:w="513"/>
        <w:gridCol w:w="1117"/>
        <w:gridCol w:w="1478"/>
        <w:gridCol w:w="967"/>
        <w:gridCol w:w="1328"/>
        <w:gridCol w:w="480"/>
        <w:gridCol w:w="720"/>
        <w:gridCol w:w="960"/>
        <w:gridCol w:w="915"/>
        <w:gridCol w:w="757"/>
      </w:tblGrid>
      <w:tr>
        <w:tblPrEx>
          <w:tblCellMar>
            <w:top w:w="0" w:type="dxa"/>
            <w:left w:w="108" w:type="dxa"/>
            <w:bottom w:w="0" w:type="dxa"/>
            <w:right w:w="108" w:type="dxa"/>
          </w:tblCellMar>
        </w:tblPrEx>
        <w:trPr>
          <w:trHeight w:val="61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bookmarkStart w:id="40" w:name="_Toc7453"/>
            <w:bookmarkStart w:id="41" w:name="_Toc91771162"/>
            <w:r>
              <w:rPr>
                <w:rFonts w:hint="eastAsia"/>
                <w:color w:val="auto"/>
                <w:sz w:val="24"/>
                <w:szCs w:val="24"/>
                <w:lang w:val="en-US"/>
              </w:rPr>
              <w:t>序号</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名称</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防治对象</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剂型</w:t>
            </w:r>
          </w:p>
        </w:tc>
        <w:tc>
          <w:tcPr>
            <w:tcW w:w="7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规格</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单位</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数量</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auto"/>
                <w:sz w:val="24"/>
                <w:szCs w:val="24"/>
              </w:rPr>
            </w:pPr>
            <w:r>
              <w:rPr>
                <w:rFonts w:hint="eastAsia"/>
                <w:color w:val="auto"/>
                <w:sz w:val="24"/>
                <w:szCs w:val="24"/>
                <w:lang w:val="en-US"/>
              </w:rPr>
              <w:t>最高单价（元）</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小计</w:t>
            </w:r>
          </w:p>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（元）</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备注</w:t>
            </w:r>
          </w:p>
        </w:tc>
      </w:tr>
      <w:tr>
        <w:tblPrEx>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1"/>
                <w:szCs w:val="21"/>
              </w:rPr>
            </w:pPr>
            <w:r>
              <w:rPr>
                <w:rFonts w:hint="eastAsia"/>
                <w:color w:val="auto"/>
                <w:sz w:val="21"/>
                <w:szCs w:val="21"/>
                <w:lang w:val="en-US"/>
              </w:rPr>
              <w:t>1</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氯虫苯甲酰胺</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eastAsia="zh-CN"/>
              </w:rPr>
              <w:t>夜蛾、青虫、毛虫、钻心虫、蒂蛀虫</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水粉散粒剂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35%</w:t>
            </w:r>
          </w:p>
          <w:p>
            <w:pPr>
              <w:widowControl/>
              <w:jc w:val="center"/>
              <w:textAlignment w:val="center"/>
              <w:rPr>
                <w:rFonts w:hint="default"/>
                <w:color w:val="auto"/>
                <w:sz w:val="21"/>
                <w:szCs w:val="21"/>
                <w:lang w:val="en-US" w:eastAsia="zh-CN"/>
              </w:rPr>
            </w:pPr>
            <w:r>
              <w:rPr>
                <w:rFonts w:hint="eastAsia"/>
                <w:color w:val="auto"/>
                <w:sz w:val="21"/>
                <w:szCs w:val="21"/>
                <w:lang w:val="en-US" w:eastAsia="zh-CN"/>
              </w:rPr>
              <w:t>5g</w:t>
            </w:r>
            <w:r>
              <w:rPr>
                <w:rFonts w:hint="default"/>
                <w:color w:val="auto"/>
                <w:sz w:val="21"/>
                <w:szCs w:val="21"/>
                <w:lang w:val="en-US" w:eastAsia="zh-CN"/>
              </w:rPr>
              <w:t>×</w:t>
            </w:r>
            <w:r>
              <w:rPr>
                <w:rFonts w:hint="eastAsia"/>
                <w:color w:val="auto"/>
                <w:sz w:val="21"/>
                <w:szCs w:val="21"/>
                <w:lang w:val="en-US" w:eastAsia="zh-CN"/>
              </w:rPr>
              <w:t>640袋</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3800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7600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1"/>
                <w:szCs w:val="21"/>
                <w:lang w:eastAsia="zh-CN"/>
              </w:rPr>
            </w:pPr>
            <w:r>
              <w:rPr>
                <w:rFonts w:hint="eastAsia"/>
                <w:color w:val="auto"/>
                <w:sz w:val="21"/>
                <w:szCs w:val="21"/>
                <w:lang w:eastAsia="zh-CN"/>
              </w:rPr>
              <w:t>微毒</w:t>
            </w:r>
          </w:p>
        </w:tc>
      </w:tr>
      <w:tr>
        <w:tblPrEx>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2</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1"/>
                <w:szCs w:val="21"/>
                <w:lang w:eastAsia="zh-CN"/>
              </w:rPr>
            </w:pPr>
            <w:r>
              <w:rPr>
                <w:rFonts w:hint="eastAsia" w:cs="宋体"/>
                <w:color w:val="auto"/>
                <w:sz w:val="21"/>
                <w:szCs w:val="21"/>
                <w:lang w:eastAsia="zh-CN"/>
              </w:rPr>
              <w:t>噻虫嗪·高效氯氟氰菊酯</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蚜虫、飞虱、粉虱</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1"/>
                <w:szCs w:val="21"/>
                <w:lang w:val="en-US" w:eastAsia="zh-CN"/>
              </w:rPr>
            </w:pPr>
            <w:r>
              <w:rPr>
                <w:rFonts w:hint="eastAsia"/>
                <w:color w:val="auto"/>
                <w:sz w:val="21"/>
                <w:szCs w:val="21"/>
                <w:lang w:eastAsia="zh-CN"/>
              </w:rPr>
              <w:t>悬浮剂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s="宋体"/>
                <w:color w:val="auto"/>
                <w:sz w:val="21"/>
                <w:szCs w:val="21"/>
                <w:lang w:val="en-US" w:eastAsia="zh-CN"/>
              </w:rPr>
            </w:pPr>
            <w:r>
              <w:rPr>
                <w:rFonts w:hint="eastAsia" w:cs="宋体"/>
                <w:color w:val="auto"/>
                <w:sz w:val="21"/>
                <w:szCs w:val="21"/>
                <w:lang w:val="en-US" w:eastAsia="zh-CN"/>
              </w:rPr>
              <w:t>15%</w:t>
            </w:r>
          </w:p>
          <w:p>
            <w:pPr>
              <w:widowControl/>
              <w:jc w:val="center"/>
              <w:textAlignment w:val="center"/>
              <w:rPr>
                <w:rFonts w:hint="default"/>
                <w:color w:val="auto"/>
                <w:sz w:val="21"/>
                <w:szCs w:val="21"/>
                <w:lang w:val="en-US" w:eastAsia="zh-CN"/>
              </w:rPr>
            </w:pPr>
            <w:r>
              <w:rPr>
                <w:rFonts w:hint="eastAsia"/>
                <w:color w:val="auto"/>
                <w:sz w:val="21"/>
                <w:szCs w:val="21"/>
                <w:lang w:val="en-US" w:eastAsia="zh-CN"/>
              </w:rPr>
              <w:t>1kg</w:t>
            </w:r>
            <w:r>
              <w:rPr>
                <w:rFonts w:hint="default"/>
                <w:color w:val="auto"/>
                <w:sz w:val="21"/>
                <w:szCs w:val="21"/>
                <w:lang w:val="en-US" w:eastAsia="zh-CN"/>
              </w:rPr>
              <w:t>×</w:t>
            </w:r>
            <w:r>
              <w:rPr>
                <w:rFonts w:hint="eastAsia"/>
                <w:color w:val="auto"/>
                <w:sz w:val="21"/>
                <w:szCs w:val="21"/>
                <w:lang w:val="en-US" w:eastAsia="zh-CN"/>
              </w:rPr>
              <w:t>12瓶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4</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1200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4800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1"/>
                <w:szCs w:val="21"/>
                <w:lang w:eastAsia="zh-CN"/>
              </w:rPr>
            </w:pPr>
            <w:r>
              <w:rPr>
                <w:rFonts w:hint="eastAsia"/>
                <w:color w:val="auto"/>
                <w:sz w:val="21"/>
                <w:szCs w:val="21"/>
                <w:lang w:eastAsia="zh-CN"/>
              </w:rPr>
              <w:t>低毒</w:t>
            </w:r>
          </w:p>
        </w:tc>
      </w:tr>
      <w:tr>
        <w:tblPrEx>
          <w:tblCellMar>
            <w:top w:w="0" w:type="dxa"/>
            <w:left w:w="108" w:type="dxa"/>
            <w:bottom w:w="0" w:type="dxa"/>
            <w:right w:w="108" w:type="dxa"/>
          </w:tblCellMar>
        </w:tblPrEx>
        <w:trPr>
          <w:trHeight w:val="113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3</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cs="宋体"/>
                <w:b w:val="0"/>
                <w:bCs w:val="0"/>
                <w:color w:val="auto"/>
                <w:sz w:val="21"/>
                <w:szCs w:val="21"/>
                <w:u w:val="none"/>
                <w:lang w:eastAsia="zh-CN"/>
              </w:rPr>
              <w:t>阿维</w:t>
            </w:r>
            <w:r>
              <w:rPr>
                <w:rFonts w:hint="eastAsia" w:ascii="宋体" w:hAnsi="宋体" w:eastAsia="宋体" w:cs="宋体"/>
                <w:b w:val="0"/>
                <w:bCs w:val="0"/>
                <w:color w:val="auto"/>
                <w:sz w:val="21"/>
                <w:szCs w:val="21"/>
                <w:u w:val="none"/>
                <w:lang w:eastAsia="zh-CN"/>
              </w:rPr>
              <w:t>˙</w:t>
            </w:r>
            <w:r>
              <w:rPr>
                <w:rFonts w:hint="eastAsia" w:cs="宋体"/>
                <w:color w:val="auto"/>
                <w:sz w:val="21"/>
                <w:szCs w:val="21"/>
                <w:lang w:eastAsia="zh-CN"/>
              </w:rPr>
              <w:t>乙螨唑</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1"/>
                <w:szCs w:val="21"/>
                <w:lang w:eastAsia="zh-CN"/>
              </w:rPr>
            </w:pPr>
            <w:r>
              <w:rPr>
                <w:rFonts w:hint="eastAsia"/>
                <w:color w:val="auto"/>
                <w:sz w:val="21"/>
                <w:szCs w:val="21"/>
                <w:lang w:eastAsia="zh-CN"/>
              </w:rPr>
              <w:t>红黄蜘蛛的卵、若螨、幼螨及成螨</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1"/>
                <w:szCs w:val="21"/>
                <w:lang w:val="en-US" w:eastAsia="zh-CN"/>
              </w:rPr>
            </w:pPr>
            <w:r>
              <w:rPr>
                <w:rFonts w:hint="eastAsia"/>
                <w:color w:val="auto"/>
                <w:sz w:val="21"/>
                <w:szCs w:val="21"/>
                <w:lang w:val="en-US" w:eastAsia="zh-CN"/>
              </w:rPr>
              <w:t>悬浮剂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1"/>
                <w:szCs w:val="21"/>
                <w:lang w:val="en-US" w:eastAsia="zh-CN"/>
              </w:rPr>
            </w:pPr>
            <w:r>
              <w:rPr>
                <w:rFonts w:hint="eastAsia"/>
                <w:color w:val="auto"/>
                <w:sz w:val="21"/>
                <w:szCs w:val="21"/>
                <w:lang w:val="en-US" w:eastAsia="zh-CN"/>
              </w:rPr>
              <w:t xml:space="preserve">   23%</w:t>
            </w:r>
          </w:p>
          <w:p>
            <w:pPr>
              <w:pStyle w:val="2"/>
              <w:rPr>
                <w:rFonts w:hint="default"/>
                <w:color w:val="auto"/>
                <w:sz w:val="21"/>
                <w:szCs w:val="21"/>
                <w:lang w:val="en-US" w:eastAsia="zh-CN"/>
              </w:rPr>
            </w:pPr>
            <w:r>
              <w:rPr>
                <w:rFonts w:hint="eastAsia"/>
                <w:color w:val="auto"/>
                <w:sz w:val="21"/>
                <w:szCs w:val="21"/>
                <w:lang w:val="en-US" w:eastAsia="zh-CN"/>
              </w:rPr>
              <w:t>1kg</w:t>
            </w:r>
            <w:r>
              <w:rPr>
                <w:rFonts w:hint="default"/>
                <w:color w:val="auto"/>
                <w:sz w:val="21"/>
                <w:szCs w:val="21"/>
                <w:lang w:val="en-US" w:eastAsia="zh-CN"/>
              </w:rPr>
              <w:t>×</w:t>
            </w:r>
            <w:r>
              <w:rPr>
                <w:rFonts w:hint="eastAsia"/>
                <w:color w:val="auto"/>
                <w:sz w:val="21"/>
                <w:szCs w:val="21"/>
                <w:lang w:val="en-US" w:eastAsia="zh-CN"/>
              </w:rPr>
              <w:t>12瓶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pStyle w:val="2"/>
              <w:rPr>
                <w:rFonts w:hint="eastAsia"/>
                <w:color w:val="auto"/>
                <w:sz w:val="21"/>
                <w:szCs w:val="21"/>
                <w:lang w:val="en-US" w:eastAsia="zh-CN"/>
              </w:rPr>
            </w:pPr>
            <w:r>
              <w:rPr>
                <w:rFonts w:hint="eastAsia"/>
                <w:color w:val="auto"/>
                <w:sz w:val="21"/>
                <w:szCs w:val="21"/>
                <w:lang w:val="en-US"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pStyle w:val="2"/>
              <w:ind w:firstLine="210" w:firstLineChars="100"/>
              <w:rPr>
                <w:rFonts w:hint="default"/>
                <w:color w:val="auto"/>
                <w:sz w:val="21"/>
                <w:szCs w:val="21"/>
                <w:lang w:val="en-US" w:eastAsia="zh-CN"/>
              </w:rPr>
            </w:pPr>
            <w:r>
              <w:rPr>
                <w:rFonts w:hint="eastAsia"/>
                <w:color w:val="auto"/>
                <w:sz w:val="21"/>
                <w:szCs w:val="21"/>
                <w:lang w:val="en-US" w:eastAsia="zh-CN"/>
              </w:rPr>
              <w:t>3</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pStyle w:val="2"/>
              <w:ind w:firstLine="210" w:firstLineChars="100"/>
              <w:rPr>
                <w:rFonts w:hint="default"/>
                <w:color w:val="auto"/>
                <w:sz w:val="21"/>
                <w:szCs w:val="21"/>
                <w:lang w:val="en-US" w:eastAsia="zh-CN"/>
              </w:rPr>
            </w:pPr>
            <w:r>
              <w:rPr>
                <w:rFonts w:hint="eastAsia"/>
                <w:color w:val="auto"/>
                <w:sz w:val="21"/>
                <w:szCs w:val="21"/>
                <w:lang w:val="en-US" w:eastAsia="zh-CN"/>
              </w:rPr>
              <w:t>3500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10500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1"/>
                <w:szCs w:val="21"/>
                <w:lang w:eastAsia="zh-CN"/>
              </w:rPr>
            </w:pPr>
            <w:r>
              <w:rPr>
                <w:rFonts w:hint="eastAsia"/>
                <w:color w:val="auto"/>
                <w:sz w:val="21"/>
                <w:szCs w:val="21"/>
                <w:lang w:eastAsia="zh-CN"/>
              </w:rPr>
              <w:t>微毒</w:t>
            </w:r>
          </w:p>
        </w:tc>
      </w:tr>
      <w:tr>
        <w:tblPrEx>
          <w:tblCellMar>
            <w:top w:w="0" w:type="dxa"/>
            <w:left w:w="108" w:type="dxa"/>
            <w:bottom w:w="0" w:type="dxa"/>
            <w:right w:w="108" w:type="dxa"/>
          </w:tblCellMar>
        </w:tblPrEx>
        <w:trPr>
          <w:trHeight w:val="74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4</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val="en-US" w:eastAsia="zh-CN" w:bidi="zh-CN"/>
                <w14:textFill>
                  <w14:solidFill>
                    <w14:schemeClr w14:val="tx1"/>
                  </w14:solidFill>
                </w14:textFill>
              </w:rPr>
              <w:t>甲维·虫螨腈</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val="en-US" w:eastAsia="zh-CN"/>
                <w14:textFill>
                  <w14:solidFill>
                    <w14:schemeClr w14:val="tx1"/>
                  </w14:solidFill>
                </w14:textFill>
              </w:rPr>
              <w:t>斜纹夜蛾、蓟马</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悬浮剂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20.8%</w:t>
            </w:r>
          </w:p>
          <w:p>
            <w:pPr>
              <w:widowControl/>
              <w:jc w:val="center"/>
              <w:textAlignment w:val="center"/>
              <w:rPr>
                <w:color w:val="auto"/>
                <w:sz w:val="21"/>
                <w:szCs w:val="21"/>
              </w:rPr>
            </w:pPr>
            <w:r>
              <w:rPr>
                <w:rFonts w:hint="eastAsia"/>
                <w:color w:val="auto"/>
                <w:sz w:val="21"/>
                <w:szCs w:val="21"/>
                <w:lang w:val="en-US" w:eastAsia="zh-CN"/>
              </w:rPr>
              <w:t>500g</w:t>
            </w:r>
            <w:r>
              <w:rPr>
                <w:rFonts w:hint="default" w:ascii="Arial" w:hAnsi="Arial" w:cs="Arial"/>
                <w:color w:val="auto"/>
                <w:sz w:val="21"/>
                <w:szCs w:val="21"/>
                <w:lang w:val="en-US" w:eastAsia="zh-CN"/>
              </w:rPr>
              <w:t>×</w:t>
            </w:r>
            <w:r>
              <w:rPr>
                <w:rFonts w:hint="eastAsia"/>
                <w:color w:val="auto"/>
                <w:sz w:val="21"/>
                <w:szCs w:val="21"/>
                <w:lang w:val="en-US" w:eastAsia="zh-CN"/>
              </w:rPr>
              <w:t>20瓶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olor w:val="auto"/>
                <w:sz w:val="21"/>
                <w:szCs w:val="21"/>
                <w:lang w:val="en-US" w:eastAsia="zh-CN"/>
              </w:rPr>
              <w:t>2</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olor w:val="auto"/>
                <w:sz w:val="21"/>
                <w:szCs w:val="21"/>
                <w:lang w:val="en-US" w:eastAsia="zh-CN"/>
              </w:rPr>
              <w:t>2500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5000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eastAsia="宋体"/>
                <w:color w:val="auto"/>
                <w:sz w:val="21"/>
                <w:szCs w:val="21"/>
                <w:lang w:val="en-US" w:eastAsia="zh-CN"/>
              </w:rPr>
            </w:pPr>
            <w:r>
              <w:rPr>
                <w:rFonts w:hint="eastAsia"/>
                <w:color w:val="auto"/>
                <w:sz w:val="21"/>
                <w:szCs w:val="21"/>
                <w:lang w:val="en-US" w:eastAsia="zh-CN"/>
              </w:rPr>
              <w:t>微毒</w:t>
            </w:r>
          </w:p>
        </w:tc>
      </w:tr>
      <w:tr>
        <w:tblPrEx>
          <w:tblCellMar>
            <w:top w:w="0" w:type="dxa"/>
            <w:left w:w="108" w:type="dxa"/>
            <w:bottom w:w="0" w:type="dxa"/>
            <w:right w:w="108" w:type="dxa"/>
          </w:tblCellMar>
        </w:tblPrEx>
        <w:trPr>
          <w:trHeight w:val="795"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5</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val="en-US" w:eastAsia="zh-CN"/>
                <w14:textFill>
                  <w14:solidFill>
                    <w14:schemeClr w14:val="tx1"/>
                  </w14:solidFill>
                </w14:textFill>
              </w:rPr>
              <w:t>高效氯氟氰菊酯</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eastAsia="zh-CN"/>
                <w14:textFill>
                  <w14:solidFill>
                    <w14:schemeClr w14:val="tx1"/>
                  </w14:solidFill>
                </w14:textFill>
              </w:rPr>
              <w:t>菊酯类杀虫剂</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val="en-US" w:eastAsia="zh-CN"/>
                <w14:textFill>
                  <w14:solidFill>
                    <w14:schemeClr w14:val="tx1"/>
                  </w14:solidFill>
                </w14:textFill>
              </w:rPr>
              <w:t>微囊悬浮剂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widowControl/>
              <w:jc w:val="center"/>
              <w:textAlignment w:val="center"/>
              <w:rPr>
                <w:rFonts w:hint="default" w:eastAsia="宋体"/>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1kg×</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5</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1800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9000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低毒</w:t>
            </w:r>
          </w:p>
        </w:tc>
      </w:tr>
      <w:tr>
        <w:tblPrEx>
          <w:tblCellMar>
            <w:top w:w="0" w:type="dxa"/>
            <w:left w:w="108" w:type="dxa"/>
            <w:bottom w:w="0" w:type="dxa"/>
            <w:right w:w="108" w:type="dxa"/>
          </w:tblCellMar>
        </w:tblPrEx>
        <w:trPr>
          <w:trHeight w:val="920"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6</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val="en-US" w:eastAsia="zh-CN"/>
                <w14:textFill>
                  <w14:solidFill>
                    <w14:schemeClr w14:val="tx1"/>
                  </w14:solidFill>
                </w14:textFill>
              </w:rPr>
              <w:t>复硝酚钠</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促进细胞的原生质流动，提高细胞活力</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水剂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widowControl/>
              <w:jc w:val="center"/>
              <w:textAlignment w:val="center"/>
              <w:rPr>
                <w:rFonts w:hint="eastAsia" w:eastAsia="宋体"/>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1㎏×12瓶</w:t>
            </w:r>
          </w:p>
        </w:tc>
        <w:tc>
          <w:tcPr>
            <w:tcW w:w="2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件</w:t>
            </w:r>
          </w:p>
        </w:tc>
        <w:tc>
          <w:tcPr>
            <w:tcW w:w="38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2</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2800</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5600</w:t>
            </w:r>
          </w:p>
        </w:tc>
        <w:tc>
          <w:tcPr>
            <w:tcW w:w="40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微毒</w:t>
            </w:r>
          </w:p>
          <w:p>
            <w:pPr>
              <w:ind w:firstLine="210" w:firstLineChars="100"/>
              <w:jc w:val="center"/>
              <w:rPr>
                <w:rFonts w:hint="eastAsia" w:eastAsia="宋体"/>
                <w:color w:val="auto"/>
                <w:sz w:val="21"/>
                <w:szCs w:val="21"/>
                <w:lang w:val="en-US" w:eastAsia="zh-CN"/>
              </w:rPr>
            </w:pPr>
          </w:p>
        </w:tc>
      </w:tr>
      <w:tr>
        <w:tblPrEx>
          <w:tblCellMar>
            <w:top w:w="0" w:type="dxa"/>
            <w:left w:w="108" w:type="dxa"/>
            <w:bottom w:w="0" w:type="dxa"/>
            <w:right w:w="108" w:type="dxa"/>
          </w:tblCellMar>
        </w:tblPrEx>
        <w:trPr>
          <w:trHeight w:val="767" w:hRule="atLeast"/>
        </w:trPr>
        <w:tc>
          <w:tcPr>
            <w:tcW w:w="27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7</w:t>
            </w:r>
          </w:p>
        </w:tc>
        <w:tc>
          <w:tcPr>
            <w:tcW w:w="60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苦参碱</w:t>
            </w:r>
          </w:p>
        </w:tc>
        <w:tc>
          <w:tcPr>
            <w:tcW w:w="800"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病毒病、菜青虫、蚜虫、</w:t>
            </w:r>
          </w:p>
        </w:tc>
        <w:tc>
          <w:tcPr>
            <w:tcW w:w="523"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水乳剂</w:t>
            </w:r>
          </w:p>
        </w:tc>
        <w:tc>
          <w:tcPr>
            <w:tcW w:w="719"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p>
            <w:pPr>
              <w:widowControl/>
              <w:jc w:val="center"/>
              <w:textAlignment w:val="center"/>
              <w:rPr>
                <w:rFonts w:hint="default" w:eastAsia="宋体"/>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1kg×12瓶</w:t>
            </w:r>
          </w:p>
        </w:tc>
        <w:tc>
          <w:tcPr>
            <w:tcW w:w="25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件</w:t>
            </w:r>
          </w:p>
        </w:tc>
        <w:tc>
          <w:tcPr>
            <w:tcW w:w="38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1</w:t>
            </w:r>
          </w:p>
        </w:tc>
        <w:tc>
          <w:tcPr>
            <w:tcW w:w="519"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cs="宋体"/>
                <w:color w:val="000000" w:themeColor="text1"/>
                <w:sz w:val="21"/>
                <w:szCs w:val="21"/>
                <w:highlight w:val="none"/>
                <w:lang w:val="en-US" w:eastAsia="zh-CN"/>
                <w14:textFill>
                  <w14:solidFill>
                    <w14:schemeClr w14:val="tx1"/>
                  </w14:solidFill>
                </w14:textFill>
              </w:rPr>
              <w:t>000</w:t>
            </w:r>
          </w:p>
        </w:tc>
        <w:tc>
          <w:tcPr>
            <w:tcW w:w="49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1000</w:t>
            </w:r>
          </w:p>
        </w:tc>
        <w:tc>
          <w:tcPr>
            <w:tcW w:w="409" w:type="pct"/>
            <w:tcBorders>
              <w:top w:val="single" w:color="000000" w:sz="4" w:space="0"/>
              <w:left w:val="single" w:color="000000" w:sz="4" w:space="0"/>
              <w:bottom w:val="single" w:color="auto" w:sz="4" w:space="0"/>
              <w:right w:val="single" w:color="000000" w:sz="4" w:space="0"/>
            </w:tcBorders>
            <w:noWrap/>
            <w:vAlign w:val="center"/>
          </w:tcPr>
          <w:p>
            <w:pPr>
              <w:jc w:val="center"/>
              <w:rPr>
                <w:rFonts w:hint="eastAsia" w:eastAsia="宋体"/>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低毒</w:t>
            </w:r>
          </w:p>
        </w:tc>
      </w:tr>
      <w:tr>
        <w:tblPrEx>
          <w:tblCellMar>
            <w:top w:w="0" w:type="dxa"/>
            <w:left w:w="108" w:type="dxa"/>
            <w:bottom w:w="0" w:type="dxa"/>
            <w:right w:w="108" w:type="dxa"/>
          </w:tblCellMar>
        </w:tblPrEx>
        <w:trPr>
          <w:trHeight w:val="1029"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8</w:t>
            </w: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lang w:eastAsia="zh-CN"/>
              </w:rPr>
            </w:pPr>
            <w:r>
              <w:rPr>
                <w:rFonts w:hint="eastAsia" w:cs="宋体"/>
                <w:color w:val="000000" w:themeColor="text1"/>
                <w:sz w:val="21"/>
                <w:szCs w:val="21"/>
                <w:highlight w:val="none"/>
                <w:lang w:val="en-US" w:eastAsia="zh-CN"/>
                <w14:textFill>
                  <w14:solidFill>
                    <w14:schemeClr w14:val="tx1"/>
                  </w14:solidFill>
                </w14:textFill>
              </w:rPr>
              <w:t>24-表芸苔素内酯</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lang w:eastAsia="zh-CN"/>
              </w:rPr>
            </w:pPr>
            <w:r>
              <w:rPr>
                <w:rFonts w:hint="eastAsia" w:cs="宋体"/>
                <w:color w:val="000000" w:themeColor="text1"/>
                <w:sz w:val="21"/>
                <w:szCs w:val="21"/>
                <w:highlight w:val="none"/>
                <w:lang w:val="en-US" w:eastAsia="zh-CN"/>
                <w14:textFill>
                  <w14:solidFill>
                    <w14:schemeClr w14:val="tx1"/>
                  </w14:solidFill>
                </w14:textFill>
              </w:rPr>
              <w:t>新</w:t>
            </w:r>
            <w:r>
              <w:rPr>
                <w:rFonts w:hint="eastAsia" w:ascii="宋体" w:hAnsi="宋体" w:eastAsia="宋体" w:cs="宋体"/>
                <w:color w:val="000000" w:themeColor="text1"/>
                <w:sz w:val="21"/>
                <w:szCs w:val="21"/>
                <w:highlight w:val="none"/>
                <w:lang w:eastAsia="zh-CN"/>
                <w14:textFill>
                  <w14:solidFill>
                    <w14:schemeClr w14:val="tx1"/>
                  </w14:solidFill>
                </w14:textFill>
              </w:rPr>
              <w:t>型绿色环保植物生长调节剂</w:t>
            </w:r>
          </w:p>
        </w:tc>
        <w:tc>
          <w:tcPr>
            <w:tcW w:w="96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可溶液剂</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0.01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1kg×</w:t>
            </w: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cs="宋体"/>
                <w:color w:val="000000" w:themeColor="text1"/>
                <w:sz w:val="21"/>
                <w:szCs w:val="21"/>
                <w:highlight w:val="none"/>
                <w:lang w:val="en-US" w:eastAsia="zh-CN"/>
                <w14:textFill>
                  <w14:solidFill>
                    <w14:schemeClr w14:val="tx1"/>
                  </w14:solidFill>
                </w14:textFill>
              </w:rPr>
              <w:t>瓶</w:t>
            </w:r>
          </w:p>
        </w:tc>
        <w:tc>
          <w:tcPr>
            <w:tcW w:w="48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4</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2600</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10400</w:t>
            </w:r>
          </w:p>
        </w:tc>
        <w:tc>
          <w:tcPr>
            <w:tcW w:w="75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低毒</w:t>
            </w:r>
          </w:p>
        </w:tc>
      </w:tr>
      <w:tr>
        <w:tblPrEx>
          <w:tblCellMar>
            <w:top w:w="0" w:type="dxa"/>
            <w:left w:w="108" w:type="dxa"/>
            <w:bottom w:w="0" w:type="dxa"/>
            <w:right w:w="108" w:type="dxa"/>
          </w:tblCellMar>
        </w:tblPrEx>
        <w:trPr>
          <w:trHeight w:val="909" w:hRule="atLeast"/>
        </w:trPr>
        <w:tc>
          <w:tcPr>
            <w:tcW w:w="277"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9</w:t>
            </w:r>
          </w:p>
        </w:tc>
        <w:tc>
          <w:tcPr>
            <w:tcW w:w="60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氨基寡糖素</w:t>
            </w:r>
          </w:p>
        </w:tc>
        <w:tc>
          <w:tcPr>
            <w:tcW w:w="800"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花叶病、小叶病、病毒病</w:t>
            </w:r>
          </w:p>
        </w:tc>
        <w:tc>
          <w:tcPr>
            <w:tcW w:w="523"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水剂</w:t>
            </w:r>
          </w:p>
        </w:tc>
        <w:tc>
          <w:tcPr>
            <w:tcW w:w="719"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5%</w:t>
            </w:r>
          </w:p>
          <w:p>
            <w:pPr>
              <w:widowControl/>
              <w:jc w:val="center"/>
              <w:textAlignment w:val="center"/>
              <w:rPr>
                <w:rFonts w:hint="default"/>
                <w:color w:val="auto"/>
                <w:sz w:val="21"/>
                <w:szCs w:val="21"/>
                <w:lang w:val="en-US" w:eastAsia="zh-CN"/>
              </w:rPr>
            </w:pPr>
            <w:r>
              <w:rPr>
                <w:rFonts w:hint="eastAsia"/>
                <w:color w:val="auto"/>
                <w:sz w:val="21"/>
                <w:szCs w:val="21"/>
                <w:lang w:val="en-US" w:eastAsia="zh-CN"/>
              </w:rPr>
              <w:t>1</w:t>
            </w:r>
            <w:r>
              <w:rPr>
                <w:rFonts w:hint="eastAsia" w:ascii="宋体" w:hAnsi="宋体" w:eastAsia="宋体" w:cs="宋体"/>
                <w:color w:val="auto"/>
                <w:sz w:val="21"/>
                <w:szCs w:val="21"/>
                <w:lang w:val="en-US" w:eastAsia="zh-CN"/>
              </w:rPr>
              <w:t>㎏</w:t>
            </w:r>
            <w:r>
              <w:rPr>
                <w:rFonts w:hint="default"/>
                <w:color w:val="auto"/>
                <w:sz w:val="21"/>
                <w:szCs w:val="21"/>
                <w:lang w:val="en-US" w:eastAsia="zh-CN"/>
              </w:rPr>
              <w:t>×</w:t>
            </w:r>
            <w:r>
              <w:rPr>
                <w:rFonts w:hint="eastAsia"/>
                <w:color w:val="auto"/>
                <w:sz w:val="21"/>
                <w:szCs w:val="21"/>
                <w:lang w:val="en-US" w:eastAsia="zh-CN"/>
              </w:rPr>
              <w:t>12瓶</w:t>
            </w:r>
          </w:p>
        </w:tc>
        <w:tc>
          <w:tcPr>
            <w:tcW w:w="259"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389"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w:t>
            </w:r>
          </w:p>
        </w:tc>
        <w:tc>
          <w:tcPr>
            <w:tcW w:w="519"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1200</w:t>
            </w:r>
          </w:p>
        </w:tc>
        <w:tc>
          <w:tcPr>
            <w:tcW w:w="49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2400</w:t>
            </w:r>
          </w:p>
        </w:tc>
        <w:tc>
          <w:tcPr>
            <w:tcW w:w="409" w:type="pct"/>
            <w:tcBorders>
              <w:top w:val="single" w:color="auto" w:sz="4" w:space="0"/>
              <w:left w:val="single" w:color="000000" w:sz="4" w:space="0"/>
              <w:bottom w:val="single" w:color="auto" w:sz="4" w:space="0"/>
              <w:right w:val="single" w:color="000000" w:sz="4" w:space="0"/>
            </w:tcBorders>
            <w:noWrap/>
            <w:vAlign w:val="center"/>
          </w:tcPr>
          <w:p>
            <w:pPr>
              <w:jc w:val="both"/>
              <w:rPr>
                <w:rFonts w:hint="eastAsia"/>
                <w:color w:val="auto"/>
                <w:sz w:val="21"/>
                <w:szCs w:val="21"/>
                <w:lang w:val="en-US" w:eastAsia="zh-CN"/>
              </w:rPr>
            </w:pPr>
            <w:r>
              <w:rPr>
                <w:rFonts w:hint="eastAsia"/>
                <w:color w:val="auto"/>
                <w:sz w:val="21"/>
                <w:szCs w:val="21"/>
                <w:lang w:val="en-US" w:eastAsia="zh-CN"/>
              </w:rPr>
              <w:t>低毒</w:t>
            </w:r>
          </w:p>
        </w:tc>
      </w:tr>
      <w:tr>
        <w:tblPrEx>
          <w:tblCellMar>
            <w:top w:w="0" w:type="dxa"/>
            <w:left w:w="108" w:type="dxa"/>
            <w:bottom w:w="0" w:type="dxa"/>
            <w:right w:w="108" w:type="dxa"/>
          </w:tblCellMar>
        </w:tblPrEx>
        <w:trPr>
          <w:trHeight w:val="969"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10</w:t>
            </w:r>
          </w:p>
        </w:tc>
        <w:tc>
          <w:tcPr>
            <w:tcW w:w="6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吡唑醚菌酯、代森联</w:t>
            </w:r>
          </w:p>
        </w:tc>
        <w:tc>
          <w:tcPr>
            <w:tcW w:w="80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叶斑病、锈病、炭疽病、斑点落叶病</w:t>
            </w:r>
          </w:p>
        </w:tc>
        <w:tc>
          <w:tcPr>
            <w:tcW w:w="52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水分散粒剂</w:t>
            </w:r>
          </w:p>
        </w:tc>
        <w:tc>
          <w:tcPr>
            <w:tcW w:w="71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72%</w:t>
            </w:r>
          </w:p>
          <w:p>
            <w:pPr>
              <w:widowControl/>
              <w:jc w:val="center"/>
              <w:textAlignment w:val="center"/>
              <w:rPr>
                <w:rFonts w:hint="default"/>
                <w:color w:val="auto"/>
                <w:sz w:val="21"/>
                <w:szCs w:val="21"/>
                <w:lang w:val="en-US" w:eastAsia="zh-CN"/>
              </w:rPr>
            </w:pPr>
            <w:r>
              <w:rPr>
                <w:rFonts w:hint="eastAsia"/>
                <w:color w:val="auto"/>
                <w:sz w:val="21"/>
                <w:szCs w:val="21"/>
                <w:lang w:val="en-US" w:eastAsia="zh-CN"/>
              </w:rPr>
              <w:t>1</w:t>
            </w:r>
            <w:r>
              <w:rPr>
                <w:rFonts w:hint="eastAsia" w:ascii="宋体" w:hAnsi="宋体" w:eastAsia="宋体" w:cs="宋体"/>
                <w:color w:val="auto"/>
                <w:sz w:val="21"/>
                <w:szCs w:val="21"/>
                <w:lang w:val="en-US" w:eastAsia="zh-CN"/>
              </w:rPr>
              <w:t>㎏</w:t>
            </w:r>
            <w:r>
              <w:rPr>
                <w:rFonts w:hint="default"/>
                <w:color w:val="auto"/>
                <w:sz w:val="21"/>
                <w:szCs w:val="21"/>
                <w:lang w:val="en-US" w:eastAsia="zh-CN"/>
              </w:rPr>
              <w:t>×</w:t>
            </w:r>
            <w:r>
              <w:rPr>
                <w:rFonts w:hint="eastAsia"/>
                <w:color w:val="auto"/>
                <w:sz w:val="21"/>
                <w:szCs w:val="21"/>
                <w:lang w:val="en-US" w:eastAsia="zh-CN"/>
              </w:rPr>
              <w:t>10袋</w:t>
            </w:r>
          </w:p>
        </w:tc>
        <w:tc>
          <w:tcPr>
            <w:tcW w:w="25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38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w:t>
            </w:r>
          </w:p>
        </w:tc>
        <w:tc>
          <w:tcPr>
            <w:tcW w:w="5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2000</w:t>
            </w:r>
          </w:p>
        </w:tc>
        <w:tc>
          <w:tcPr>
            <w:tcW w:w="49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4000</w:t>
            </w:r>
          </w:p>
        </w:tc>
        <w:tc>
          <w:tcPr>
            <w:tcW w:w="409" w:type="pct"/>
            <w:tcBorders>
              <w:top w:val="single" w:color="auto" w:sz="4" w:space="0"/>
              <w:left w:val="single" w:color="auto" w:sz="4" w:space="0"/>
              <w:bottom w:val="single" w:color="auto" w:sz="4" w:space="0"/>
              <w:right w:val="single" w:color="auto" w:sz="4" w:space="0"/>
            </w:tcBorders>
            <w:noWrap/>
            <w:vAlign w:val="center"/>
          </w:tcPr>
          <w:p>
            <w:pPr>
              <w:jc w:val="both"/>
              <w:rPr>
                <w:rFonts w:hint="eastAsia"/>
                <w:color w:val="auto"/>
                <w:sz w:val="21"/>
                <w:szCs w:val="21"/>
                <w:lang w:val="en-US" w:eastAsia="zh-CN"/>
              </w:rPr>
            </w:pPr>
            <w:r>
              <w:rPr>
                <w:rFonts w:hint="eastAsia"/>
                <w:color w:val="auto"/>
                <w:sz w:val="21"/>
                <w:szCs w:val="21"/>
                <w:lang w:val="en-US" w:eastAsia="zh-CN"/>
              </w:rPr>
              <w:t>低毒</w:t>
            </w:r>
          </w:p>
        </w:tc>
      </w:tr>
      <w:tr>
        <w:tblPrEx>
          <w:tblCellMar>
            <w:top w:w="0" w:type="dxa"/>
            <w:left w:w="108" w:type="dxa"/>
            <w:bottom w:w="0" w:type="dxa"/>
            <w:right w:w="108" w:type="dxa"/>
          </w:tblCellMar>
        </w:tblPrEx>
        <w:trPr>
          <w:trHeight w:val="739" w:hRule="atLeast"/>
        </w:trPr>
        <w:tc>
          <w:tcPr>
            <w:tcW w:w="27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11</w:t>
            </w:r>
          </w:p>
        </w:tc>
        <w:tc>
          <w:tcPr>
            <w:tcW w:w="1117"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草甘膦</w:t>
            </w:r>
            <w:r>
              <w:rPr>
                <w:rFonts w:hint="eastAsia" w:cs="宋体"/>
                <w:color w:val="000000" w:themeColor="text1"/>
                <w:sz w:val="21"/>
                <w:szCs w:val="21"/>
                <w:highlight w:val="none"/>
                <w:lang w:val="en-US" w:eastAsia="zh-CN"/>
                <w14:textFill>
                  <w14:solidFill>
                    <w14:schemeClr w14:val="tx1"/>
                  </w14:solidFill>
                </w14:textFill>
              </w:rPr>
              <w:t>铵盐</w:t>
            </w:r>
          </w:p>
        </w:tc>
        <w:tc>
          <w:tcPr>
            <w:tcW w:w="1478" w:type="dxa"/>
            <w:tcBorders>
              <w:top w:val="single" w:color="auto" w:sz="4" w:space="0"/>
              <w:left w:val="single" w:color="000000" w:sz="4" w:space="0"/>
              <w:bottom w:val="single" w:color="000000" w:sz="4" w:space="0"/>
              <w:right w:val="single" w:color="000000" w:sz="4" w:space="0"/>
            </w:tcBorders>
            <w:noWrap w:val="0"/>
            <w:vAlign w:val="center"/>
          </w:tcPr>
          <w:p>
            <w:pPr>
              <w:widowControl/>
              <w:tabs>
                <w:tab w:val="left" w:pos="350"/>
              </w:tabs>
              <w:jc w:val="left"/>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ab/>
            </w:r>
            <w:r>
              <w:rPr>
                <w:rFonts w:hint="eastAsia"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杂草</w:t>
            </w:r>
          </w:p>
        </w:tc>
        <w:tc>
          <w:tcPr>
            <w:tcW w:w="967"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可溶粒剂</w:t>
            </w:r>
          </w:p>
        </w:tc>
        <w:tc>
          <w:tcPr>
            <w:tcW w:w="132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themeColor="text1"/>
                <w:sz w:val="21"/>
                <w:szCs w:val="21"/>
                <w:highlight w:val="none"/>
                <w:lang w:val="en-US" w:eastAsia="zh-CN" w:bidi="zh-CN"/>
                <w14:textFill>
                  <w14:solidFill>
                    <w14:schemeClr w14:val="tx1"/>
                  </w14:solidFill>
                </w14:textFill>
              </w:rPr>
            </w:pPr>
            <w:r>
              <w:rPr>
                <w:rFonts w:hint="eastAsia" w:cs="宋体"/>
                <w:color w:val="000000" w:themeColor="text1"/>
                <w:sz w:val="21"/>
                <w:szCs w:val="21"/>
                <w:highlight w:val="none"/>
                <w:lang w:val="en-US" w:eastAsia="zh-CN" w:bidi="zh-CN"/>
                <w14:textFill>
                  <w14:solidFill>
                    <w14:schemeClr w14:val="tx1"/>
                  </w14:solidFill>
                </w14:textFill>
              </w:rPr>
              <w:t>74.8%</w:t>
            </w:r>
          </w:p>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50g×200袋</w:t>
            </w:r>
          </w:p>
        </w:tc>
        <w:tc>
          <w:tcPr>
            <w:tcW w:w="48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p>
        </w:tc>
        <w:tc>
          <w:tcPr>
            <w:tcW w:w="72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30</w:t>
            </w:r>
          </w:p>
        </w:tc>
        <w:tc>
          <w:tcPr>
            <w:tcW w:w="96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850</w:t>
            </w:r>
          </w:p>
        </w:tc>
        <w:tc>
          <w:tcPr>
            <w:tcW w:w="91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25500</w:t>
            </w:r>
          </w:p>
        </w:tc>
        <w:tc>
          <w:tcPr>
            <w:tcW w:w="757" w:type="dxa"/>
            <w:tcBorders>
              <w:top w:val="single" w:color="auto" w:sz="4" w:space="0"/>
              <w:left w:val="single" w:color="000000" w:sz="4" w:space="0"/>
              <w:bottom w:val="single" w:color="000000" w:sz="4" w:space="0"/>
              <w:right w:val="single" w:color="000000" w:sz="4" w:space="0"/>
            </w:tcBorders>
            <w:noWrap/>
            <w:vAlign w:val="center"/>
          </w:tcPr>
          <w:p>
            <w:pPr>
              <w:jc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低毒</w:t>
            </w:r>
          </w:p>
        </w:tc>
      </w:tr>
      <w:tr>
        <w:tblPrEx>
          <w:tblCellMar>
            <w:top w:w="0" w:type="dxa"/>
            <w:left w:w="108" w:type="dxa"/>
            <w:bottom w:w="0" w:type="dxa"/>
            <w:right w:w="108" w:type="dxa"/>
          </w:tblCellMar>
        </w:tblPrEx>
        <w:trPr>
          <w:trHeight w:val="734"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12</w:t>
            </w:r>
          </w:p>
        </w:tc>
        <w:tc>
          <w:tcPr>
            <w:tcW w:w="60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精草铵膦铵盐</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牛筋草</w:t>
            </w:r>
          </w:p>
        </w:tc>
        <w:tc>
          <w:tcPr>
            <w:tcW w:w="5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可溶液剂</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10.9%</w:t>
            </w:r>
          </w:p>
          <w:p>
            <w:pPr>
              <w:pStyle w:val="2"/>
              <w:rPr>
                <w:rFonts w:hint="default"/>
                <w:color w:val="auto"/>
                <w:sz w:val="21"/>
                <w:szCs w:val="21"/>
                <w:lang w:val="en-US" w:eastAsia="zh-CN"/>
              </w:rPr>
            </w:pPr>
            <w:r>
              <w:rPr>
                <w:rFonts w:hint="eastAsia"/>
                <w:color w:val="auto"/>
                <w:sz w:val="21"/>
                <w:szCs w:val="21"/>
                <w:lang w:val="en-US" w:eastAsia="zh-CN"/>
              </w:rPr>
              <w:t>1</w:t>
            </w:r>
            <w:r>
              <w:rPr>
                <w:rFonts w:hint="eastAsia" w:ascii="宋体" w:hAnsi="宋体" w:eastAsia="宋体" w:cs="宋体"/>
                <w:color w:val="auto"/>
                <w:sz w:val="21"/>
                <w:szCs w:val="21"/>
                <w:lang w:val="en-US" w:eastAsia="zh-CN"/>
              </w:rPr>
              <w:t>㎏</w:t>
            </w:r>
            <w:r>
              <w:rPr>
                <w:rFonts w:hint="default"/>
                <w:color w:val="auto"/>
                <w:sz w:val="21"/>
                <w:szCs w:val="21"/>
                <w:lang w:val="en-US" w:eastAsia="zh-CN"/>
              </w:rPr>
              <w:t>×</w:t>
            </w:r>
            <w:r>
              <w:rPr>
                <w:rFonts w:hint="eastAsia"/>
                <w:color w:val="auto"/>
                <w:sz w:val="21"/>
                <w:szCs w:val="21"/>
                <w:lang w:val="en-US" w:eastAsia="zh-CN"/>
              </w:rPr>
              <w:t>12瓶</w:t>
            </w:r>
          </w:p>
        </w:tc>
        <w:tc>
          <w:tcPr>
            <w:tcW w:w="25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38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30</w:t>
            </w:r>
          </w:p>
        </w:tc>
        <w:tc>
          <w:tcPr>
            <w:tcW w:w="51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500</w:t>
            </w:r>
          </w:p>
        </w:tc>
        <w:tc>
          <w:tcPr>
            <w:tcW w:w="49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15000</w:t>
            </w:r>
          </w:p>
        </w:tc>
        <w:tc>
          <w:tcPr>
            <w:tcW w:w="409" w:type="pct"/>
            <w:tcBorders>
              <w:top w:val="nil"/>
              <w:left w:val="single" w:color="000000" w:sz="4" w:space="0"/>
              <w:bottom w:val="single" w:color="000000" w:sz="4" w:space="0"/>
              <w:right w:val="single" w:color="000000" w:sz="4" w:space="0"/>
            </w:tcBorders>
            <w:noWrap/>
            <w:vAlign w:val="center"/>
          </w:tcPr>
          <w:p>
            <w:pPr>
              <w:jc w:val="both"/>
              <w:rPr>
                <w:rFonts w:hint="eastAsia"/>
                <w:color w:val="auto"/>
                <w:sz w:val="21"/>
                <w:szCs w:val="21"/>
                <w:lang w:val="en-US" w:eastAsia="zh-CN"/>
              </w:rPr>
            </w:pPr>
            <w:r>
              <w:rPr>
                <w:rFonts w:hint="eastAsia"/>
                <w:color w:val="auto"/>
                <w:sz w:val="21"/>
                <w:szCs w:val="21"/>
                <w:lang w:val="en-US" w:eastAsia="zh-CN"/>
              </w:rPr>
              <w:t>低毒</w:t>
            </w:r>
          </w:p>
        </w:tc>
      </w:tr>
      <w:tr>
        <w:tblPrEx>
          <w:tblCellMar>
            <w:top w:w="0" w:type="dxa"/>
            <w:left w:w="108" w:type="dxa"/>
            <w:bottom w:w="0" w:type="dxa"/>
            <w:right w:w="108" w:type="dxa"/>
          </w:tblCellMar>
        </w:tblPrEx>
        <w:trPr>
          <w:trHeight w:val="779"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13</w:t>
            </w:r>
          </w:p>
        </w:tc>
        <w:tc>
          <w:tcPr>
            <w:tcW w:w="111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苯醚甲环唑</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叶斑病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悬浮剂</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1㎏×12瓶</w:t>
            </w:r>
          </w:p>
        </w:tc>
        <w:tc>
          <w:tcPr>
            <w:tcW w:w="48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p>
        </w:tc>
        <w:tc>
          <w:tcPr>
            <w:tcW w:w="72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5</w:t>
            </w:r>
          </w:p>
        </w:tc>
        <w:tc>
          <w:tcPr>
            <w:tcW w:w="96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800</w:t>
            </w:r>
          </w:p>
        </w:tc>
        <w:tc>
          <w:tcPr>
            <w:tcW w:w="91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4000</w:t>
            </w:r>
          </w:p>
        </w:tc>
        <w:tc>
          <w:tcPr>
            <w:tcW w:w="757" w:type="dxa"/>
            <w:tcBorders>
              <w:top w:val="nil"/>
              <w:left w:val="single" w:color="000000" w:sz="4" w:space="0"/>
              <w:bottom w:val="single" w:color="000000" w:sz="4" w:space="0"/>
              <w:right w:val="single" w:color="000000" w:sz="4" w:space="0"/>
            </w:tcBorders>
            <w:noWrap/>
            <w:vAlign w:val="center"/>
          </w:tcPr>
          <w:p>
            <w:pPr>
              <w:jc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低毒</w:t>
            </w:r>
          </w:p>
        </w:tc>
      </w:tr>
      <w:tr>
        <w:tblPrEx>
          <w:tblCellMar>
            <w:top w:w="0" w:type="dxa"/>
            <w:left w:w="108" w:type="dxa"/>
            <w:bottom w:w="0" w:type="dxa"/>
            <w:right w:w="108" w:type="dxa"/>
          </w:tblCellMar>
        </w:tblPrEx>
        <w:trPr>
          <w:trHeight w:val="779" w:hRule="atLeast"/>
        </w:trPr>
        <w:tc>
          <w:tcPr>
            <w:tcW w:w="2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14</w:t>
            </w:r>
          </w:p>
        </w:tc>
        <w:tc>
          <w:tcPr>
            <w:tcW w:w="1117"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唑醚·戊唑醇</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斑点落叶病、锈病、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ascii="宋体" w:hAnsi="宋体" w:eastAsia="宋体" w:cs="宋体"/>
                <w:color w:val="000000" w:themeColor="text1"/>
                <w:sz w:val="21"/>
                <w:szCs w:val="21"/>
                <w:highlight w:val="none"/>
                <w:lang w:eastAsia="zh-CN"/>
                <w14:textFill>
                  <w14:solidFill>
                    <w14:schemeClr w14:val="tx1"/>
                  </w14:solidFill>
                </w14:textFill>
              </w:rPr>
              <w:t>悬浮剂</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p>
            <w:pPr>
              <w:pStyle w:val="2"/>
              <w:jc w:val="both"/>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1㎏×12瓶</w:t>
            </w:r>
          </w:p>
        </w:tc>
        <w:tc>
          <w:tcPr>
            <w:tcW w:w="48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件</w:t>
            </w:r>
          </w:p>
        </w:tc>
        <w:tc>
          <w:tcPr>
            <w:tcW w:w="72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5</w:t>
            </w:r>
          </w:p>
        </w:tc>
        <w:tc>
          <w:tcPr>
            <w:tcW w:w="96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1800</w:t>
            </w:r>
          </w:p>
        </w:tc>
        <w:tc>
          <w:tcPr>
            <w:tcW w:w="91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s="宋体"/>
                <w:color w:val="000000" w:themeColor="text1"/>
                <w:sz w:val="21"/>
                <w:szCs w:val="21"/>
                <w:highlight w:val="none"/>
                <w:lang w:val="en-US" w:eastAsia="zh-CN"/>
                <w14:textFill>
                  <w14:solidFill>
                    <w14:schemeClr w14:val="tx1"/>
                  </w14:solidFill>
                </w14:textFill>
              </w:rPr>
              <w:t>9000</w:t>
            </w:r>
          </w:p>
        </w:tc>
        <w:tc>
          <w:tcPr>
            <w:tcW w:w="757" w:type="dxa"/>
            <w:tcBorders>
              <w:top w:val="nil"/>
              <w:left w:val="single" w:color="000000" w:sz="4" w:space="0"/>
              <w:bottom w:val="single" w:color="000000" w:sz="4" w:space="0"/>
              <w:right w:val="single" w:color="000000" w:sz="4" w:space="0"/>
            </w:tcBorders>
            <w:noWrap/>
            <w:vAlign w:val="center"/>
          </w:tcPr>
          <w:p>
            <w:pPr>
              <w:jc w:val="center"/>
              <w:rPr>
                <w:rFonts w:hint="eastAsia"/>
                <w:color w:val="auto"/>
                <w:sz w:val="21"/>
                <w:szCs w:val="21"/>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低毒</w:t>
            </w:r>
          </w:p>
        </w:tc>
      </w:tr>
      <w:tr>
        <w:tblPrEx>
          <w:tblCellMar>
            <w:top w:w="0" w:type="dxa"/>
            <w:left w:w="108" w:type="dxa"/>
            <w:bottom w:w="0" w:type="dxa"/>
            <w:right w:w="108" w:type="dxa"/>
          </w:tblCellMar>
        </w:tblPrEx>
        <w:trPr>
          <w:trHeight w:val="1874" w:hRule="atLeast"/>
        </w:trPr>
        <w:tc>
          <w:tcPr>
            <w:tcW w:w="27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15</w:t>
            </w:r>
          </w:p>
        </w:tc>
        <w:tc>
          <w:tcPr>
            <w:tcW w:w="604"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复合微生物肥料</w:t>
            </w:r>
          </w:p>
        </w:tc>
        <w:tc>
          <w:tcPr>
            <w:tcW w:w="800"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适用于所有园林绿化、草坪、果树、蔬菜等</w:t>
            </w:r>
          </w:p>
        </w:tc>
        <w:tc>
          <w:tcPr>
            <w:tcW w:w="523"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粉剂</w:t>
            </w:r>
          </w:p>
        </w:tc>
        <w:tc>
          <w:tcPr>
            <w:tcW w:w="719" w:type="pct"/>
            <w:tcBorders>
              <w:top w:val="single" w:color="000000" w:sz="4" w:space="0"/>
              <w:left w:val="single" w:color="000000" w:sz="4" w:space="0"/>
              <w:bottom w:val="single" w:color="auto" w:sz="4" w:space="0"/>
              <w:right w:val="single" w:color="000000" w:sz="4" w:space="0"/>
            </w:tcBorders>
            <w:noWrap w:val="0"/>
            <w:vAlign w:val="center"/>
          </w:tcPr>
          <w:p>
            <w:pPr>
              <w:widowControl/>
              <w:numPr>
                <w:ilvl w:val="0"/>
                <w:numId w:val="2"/>
              </w:numPr>
              <w:jc w:val="both"/>
              <w:textAlignment w:val="center"/>
              <w:rPr>
                <w:rFonts w:hint="eastAsia"/>
                <w:color w:val="auto"/>
                <w:sz w:val="18"/>
                <w:szCs w:val="18"/>
                <w:lang w:val="en-US" w:eastAsia="zh-CN"/>
              </w:rPr>
            </w:pPr>
            <w:r>
              <w:rPr>
                <w:rFonts w:hint="eastAsia"/>
                <w:color w:val="auto"/>
                <w:sz w:val="18"/>
                <w:szCs w:val="18"/>
                <w:lang w:eastAsia="zh-CN"/>
              </w:rPr>
              <w:t>有效活菌</w:t>
            </w:r>
            <w:r>
              <w:rPr>
                <w:rFonts w:hint="default"/>
                <w:color w:val="auto"/>
                <w:sz w:val="18"/>
                <w:szCs w:val="18"/>
                <w:lang w:eastAsia="zh-CN"/>
              </w:rPr>
              <w:t>≥</w:t>
            </w:r>
            <w:r>
              <w:rPr>
                <w:rFonts w:hint="eastAsia"/>
                <w:color w:val="auto"/>
                <w:sz w:val="18"/>
                <w:szCs w:val="18"/>
                <w:lang w:val="en-US" w:eastAsia="zh-CN"/>
              </w:rPr>
              <w:t>0.20亿/g, 2.</w:t>
            </w:r>
          </w:p>
          <w:p>
            <w:pPr>
              <w:widowControl/>
              <w:numPr>
                <w:ilvl w:val="0"/>
                <w:numId w:val="2"/>
              </w:numPr>
              <w:jc w:val="both"/>
              <w:textAlignment w:val="center"/>
              <w:rPr>
                <w:rFonts w:hint="eastAsia"/>
                <w:color w:val="auto"/>
                <w:sz w:val="18"/>
                <w:szCs w:val="18"/>
                <w:lang w:val="en-US" w:eastAsia="zh-CN"/>
              </w:rPr>
            </w:pPr>
            <w:r>
              <w:rPr>
                <w:rFonts w:hint="eastAsia"/>
                <w:color w:val="auto"/>
                <w:sz w:val="18"/>
                <w:szCs w:val="18"/>
                <w:lang w:val="en-US" w:eastAsia="zh-CN"/>
              </w:rPr>
              <w:t>氮肥、磷、钾=10.0%，</w:t>
            </w:r>
          </w:p>
          <w:p>
            <w:pPr>
              <w:widowControl/>
              <w:numPr>
                <w:ilvl w:val="0"/>
                <w:numId w:val="0"/>
              </w:numPr>
              <w:jc w:val="both"/>
              <w:textAlignment w:val="center"/>
              <w:rPr>
                <w:rFonts w:hint="eastAsia"/>
                <w:color w:val="auto"/>
                <w:sz w:val="18"/>
                <w:szCs w:val="18"/>
                <w:lang w:val="en-US" w:eastAsia="zh-CN"/>
              </w:rPr>
            </w:pPr>
            <w:r>
              <w:rPr>
                <w:rFonts w:hint="eastAsia"/>
                <w:color w:val="auto"/>
                <w:sz w:val="18"/>
                <w:szCs w:val="18"/>
                <w:lang w:val="en-US" w:eastAsia="zh-CN"/>
              </w:rPr>
              <w:t>3.有机质</w:t>
            </w:r>
            <w:r>
              <w:rPr>
                <w:rFonts w:hint="default"/>
                <w:color w:val="auto"/>
                <w:sz w:val="18"/>
                <w:szCs w:val="18"/>
                <w:lang w:val="en-US" w:eastAsia="zh-CN"/>
              </w:rPr>
              <w:t>≥</w:t>
            </w:r>
            <w:r>
              <w:rPr>
                <w:rFonts w:hint="eastAsia"/>
                <w:color w:val="auto"/>
                <w:sz w:val="18"/>
                <w:szCs w:val="18"/>
                <w:lang w:val="en-US" w:eastAsia="zh-CN"/>
              </w:rPr>
              <w:t>20.0%</w:t>
            </w:r>
          </w:p>
          <w:p>
            <w:pPr>
              <w:widowControl/>
              <w:jc w:val="center"/>
              <w:textAlignment w:val="center"/>
              <w:rPr>
                <w:rFonts w:hint="eastAsia"/>
                <w:color w:val="auto"/>
                <w:sz w:val="18"/>
                <w:szCs w:val="18"/>
                <w:lang w:val="en-US" w:eastAsia="zh-CN"/>
              </w:rPr>
            </w:pPr>
            <w:r>
              <w:rPr>
                <w:rFonts w:hint="eastAsia"/>
                <w:color w:val="auto"/>
                <w:sz w:val="18"/>
                <w:szCs w:val="18"/>
                <w:lang w:val="en-US" w:eastAsia="zh-CN"/>
              </w:rPr>
              <w:t>40公斤/袋</w:t>
            </w:r>
          </w:p>
        </w:tc>
        <w:tc>
          <w:tcPr>
            <w:tcW w:w="259"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lang w:val="en-US" w:eastAsia="zh-CN"/>
              </w:rPr>
            </w:pPr>
            <w:r>
              <w:rPr>
                <w:rFonts w:hint="eastAsia"/>
                <w:color w:val="auto"/>
                <w:sz w:val="21"/>
                <w:szCs w:val="21"/>
                <w:lang w:val="en-US" w:eastAsia="zh-CN"/>
              </w:rPr>
              <w:t>吨</w:t>
            </w:r>
          </w:p>
        </w:tc>
        <w:tc>
          <w:tcPr>
            <w:tcW w:w="389"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20</w:t>
            </w:r>
          </w:p>
        </w:tc>
        <w:tc>
          <w:tcPr>
            <w:tcW w:w="519"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3410</w:t>
            </w:r>
          </w:p>
        </w:tc>
        <w:tc>
          <w:tcPr>
            <w:tcW w:w="495"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69000</w:t>
            </w:r>
          </w:p>
        </w:tc>
        <w:tc>
          <w:tcPr>
            <w:tcW w:w="409" w:type="pct"/>
            <w:tcBorders>
              <w:top w:val="nil"/>
              <w:left w:val="single" w:color="000000" w:sz="4" w:space="0"/>
              <w:bottom w:val="single" w:color="auto" w:sz="4" w:space="0"/>
              <w:right w:val="single" w:color="000000" w:sz="4" w:space="0"/>
            </w:tcBorders>
            <w:noWrap/>
            <w:vAlign w:val="center"/>
          </w:tcPr>
          <w:p>
            <w:pPr>
              <w:jc w:val="both"/>
              <w:rPr>
                <w:rFonts w:hint="eastAsia"/>
                <w:color w:val="auto"/>
                <w:sz w:val="21"/>
                <w:szCs w:val="21"/>
                <w:lang w:val="en-US" w:eastAsia="zh-CN"/>
              </w:rPr>
            </w:pPr>
            <w:r>
              <w:rPr>
                <w:rFonts w:hint="eastAsia"/>
                <w:color w:val="auto"/>
                <w:sz w:val="18"/>
                <w:szCs w:val="18"/>
                <w:lang w:val="en-US" w:eastAsia="zh-CN"/>
              </w:rPr>
              <w:t>原料不能是垃圾，重金属不能超标</w:t>
            </w:r>
          </w:p>
        </w:tc>
      </w:tr>
      <w:tr>
        <w:tblPrEx>
          <w:tblCellMar>
            <w:top w:w="0" w:type="dxa"/>
            <w:left w:w="108" w:type="dxa"/>
            <w:bottom w:w="0" w:type="dxa"/>
            <w:right w:w="108" w:type="dxa"/>
          </w:tblCellMar>
        </w:tblPrEx>
        <w:trPr>
          <w:trHeight w:val="1994" w:hRule="atLeast"/>
        </w:trPr>
        <w:tc>
          <w:tcPr>
            <w:tcW w:w="27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1"/>
                <w:szCs w:val="21"/>
                <w:lang w:val="en-US" w:eastAsia="zh-CN"/>
              </w:rPr>
            </w:pPr>
            <w:r>
              <w:rPr>
                <w:rFonts w:hint="eastAsia"/>
                <w:color w:val="auto"/>
                <w:sz w:val="21"/>
                <w:szCs w:val="21"/>
                <w:lang w:val="en-US" w:eastAsia="zh-CN"/>
              </w:rPr>
              <w:t>16</w:t>
            </w:r>
          </w:p>
        </w:tc>
        <w:tc>
          <w:tcPr>
            <w:tcW w:w="60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稳定性复合肥料</w:t>
            </w:r>
          </w:p>
        </w:tc>
        <w:tc>
          <w:tcPr>
            <w:tcW w:w="80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稳定型复合肥</w:t>
            </w:r>
          </w:p>
        </w:tc>
        <w:tc>
          <w:tcPr>
            <w:tcW w:w="52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颗粒剂</w:t>
            </w:r>
          </w:p>
        </w:tc>
        <w:tc>
          <w:tcPr>
            <w:tcW w:w="719" w:type="pct"/>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color w:val="auto"/>
                <w:sz w:val="18"/>
                <w:szCs w:val="18"/>
                <w:lang w:val="zh-CN" w:eastAsia="zh-CN"/>
              </w:rPr>
            </w:pPr>
            <w:r>
              <w:rPr>
                <w:rFonts w:hint="eastAsia"/>
                <w:color w:val="auto"/>
                <w:sz w:val="18"/>
                <w:szCs w:val="18"/>
                <w:lang w:val="en-US" w:eastAsia="zh-CN"/>
              </w:rPr>
              <w:t>1、</w:t>
            </w:r>
            <w:r>
              <w:rPr>
                <w:rFonts w:hint="eastAsia"/>
                <w:color w:val="auto"/>
                <w:sz w:val="18"/>
                <w:szCs w:val="18"/>
                <w:lang w:val="zh-CN" w:eastAsia="zh-CN"/>
              </w:rPr>
              <w:t>总养分≥45%；</w:t>
            </w:r>
          </w:p>
          <w:p>
            <w:pPr>
              <w:widowControl/>
              <w:jc w:val="both"/>
              <w:textAlignment w:val="center"/>
              <w:rPr>
                <w:rFonts w:hint="eastAsia"/>
                <w:color w:val="auto"/>
                <w:sz w:val="18"/>
                <w:szCs w:val="18"/>
                <w:lang w:val="zh-CN" w:eastAsia="zh-CN"/>
              </w:rPr>
            </w:pPr>
            <w:r>
              <w:rPr>
                <w:rFonts w:hint="eastAsia"/>
                <w:color w:val="auto"/>
                <w:sz w:val="18"/>
                <w:szCs w:val="18"/>
                <w:lang w:val="zh-CN" w:eastAsia="zh-CN"/>
              </w:rPr>
              <w:t>2、N ≥15—P2O5 ≥15—K2O ≥15;</w:t>
            </w:r>
          </w:p>
          <w:p>
            <w:pPr>
              <w:widowControl/>
              <w:jc w:val="both"/>
              <w:textAlignment w:val="center"/>
              <w:rPr>
                <w:rFonts w:hint="eastAsia"/>
                <w:color w:val="auto"/>
                <w:sz w:val="18"/>
                <w:szCs w:val="18"/>
                <w:lang w:val="zh-CN" w:eastAsia="zh-CN"/>
              </w:rPr>
            </w:pPr>
            <w:r>
              <w:rPr>
                <w:rFonts w:hint="eastAsia"/>
                <w:color w:val="auto"/>
                <w:sz w:val="18"/>
                <w:szCs w:val="18"/>
                <w:lang w:val="zh-CN" w:eastAsia="zh-CN"/>
              </w:rPr>
              <w:t>3、水溶性磷≥60%；</w:t>
            </w:r>
          </w:p>
          <w:p>
            <w:pPr>
              <w:widowControl/>
              <w:jc w:val="both"/>
              <w:textAlignment w:val="center"/>
              <w:rPr>
                <w:rFonts w:hint="eastAsia"/>
                <w:color w:val="auto"/>
                <w:sz w:val="18"/>
                <w:szCs w:val="18"/>
                <w:lang w:val="zh-CN" w:eastAsia="zh-CN"/>
              </w:rPr>
            </w:pPr>
            <w:r>
              <w:rPr>
                <w:rFonts w:hint="eastAsia"/>
                <w:color w:val="auto"/>
                <w:sz w:val="18"/>
                <w:szCs w:val="18"/>
                <w:lang w:val="zh-CN" w:eastAsia="zh-CN"/>
              </w:rPr>
              <w:t>4、氯离子≤30%；</w:t>
            </w:r>
          </w:p>
          <w:p>
            <w:pPr>
              <w:widowControl/>
              <w:jc w:val="center"/>
              <w:textAlignment w:val="center"/>
              <w:rPr>
                <w:rFonts w:hint="eastAsia"/>
                <w:color w:val="auto"/>
                <w:sz w:val="18"/>
                <w:szCs w:val="18"/>
                <w:lang w:val="zh-CN" w:eastAsia="zh-CN"/>
              </w:rPr>
            </w:pPr>
            <w:r>
              <w:rPr>
                <w:rFonts w:hint="eastAsia"/>
                <w:color w:val="auto"/>
                <w:sz w:val="18"/>
                <w:szCs w:val="18"/>
                <w:lang w:val="zh-CN" w:eastAsia="zh-CN"/>
              </w:rPr>
              <w:t>5、尿素残留差异率≥25%；</w:t>
            </w:r>
          </w:p>
          <w:p>
            <w:pPr>
              <w:widowControl/>
              <w:jc w:val="both"/>
              <w:textAlignment w:val="center"/>
              <w:rPr>
                <w:rFonts w:hint="eastAsia"/>
                <w:color w:val="auto"/>
                <w:sz w:val="18"/>
                <w:szCs w:val="18"/>
                <w:lang w:val="en-US" w:eastAsia="zh-CN"/>
              </w:rPr>
            </w:pPr>
            <w:r>
              <w:rPr>
                <w:rFonts w:hint="eastAsia"/>
                <w:color w:val="auto"/>
                <w:sz w:val="18"/>
                <w:szCs w:val="18"/>
                <w:lang w:val="zh-CN" w:eastAsia="zh-CN"/>
              </w:rPr>
              <w:t>6、硝化抑制率≥6%；</w:t>
            </w:r>
          </w:p>
          <w:p>
            <w:pPr>
              <w:rPr>
                <w:rFonts w:hint="default"/>
                <w:color w:val="auto"/>
                <w:sz w:val="21"/>
                <w:szCs w:val="21"/>
                <w:lang w:val="en-US" w:eastAsia="zh-CN"/>
              </w:rPr>
            </w:pPr>
            <w:r>
              <w:rPr>
                <w:rFonts w:hint="eastAsia"/>
                <w:color w:val="auto"/>
                <w:sz w:val="18"/>
                <w:szCs w:val="18"/>
                <w:lang w:val="en-US" w:eastAsia="zh-CN"/>
              </w:rPr>
              <w:t>25公斤/袋</w:t>
            </w:r>
          </w:p>
        </w:tc>
        <w:tc>
          <w:tcPr>
            <w:tcW w:w="25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lang w:val="en-US" w:eastAsia="zh-CN"/>
              </w:rPr>
            </w:pPr>
            <w:r>
              <w:rPr>
                <w:rFonts w:hint="eastAsia"/>
                <w:color w:val="auto"/>
                <w:sz w:val="21"/>
                <w:szCs w:val="21"/>
                <w:lang w:val="en-US" w:eastAsia="zh-CN"/>
              </w:rPr>
              <w:t>吨</w:t>
            </w:r>
          </w:p>
        </w:tc>
        <w:tc>
          <w:tcPr>
            <w:tcW w:w="38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lang w:val="en-US" w:eastAsia="zh-CN"/>
              </w:rPr>
            </w:pPr>
            <w:r>
              <w:rPr>
                <w:rFonts w:hint="eastAsia"/>
                <w:color w:val="auto"/>
                <w:sz w:val="21"/>
                <w:szCs w:val="21"/>
                <w:lang w:val="en-US" w:eastAsia="zh-CN"/>
              </w:rPr>
              <w:t>7</w:t>
            </w:r>
          </w:p>
        </w:tc>
        <w:tc>
          <w:tcPr>
            <w:tcW w:w="51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1"/>
                <w:szCs w:val="21"/>
                <w:lang w:val="en-US" w:eastAsia="zh-CN"/>
              </w:rPr>
            </w:pPr>
            <w:r>
              <w:rPr>
                <w:rFonts w:hint="eastAsia"/>
                <w:color w:val="auto"/>
                <w:sz w:val="21"/>
                <w:szCs w:val="21"/>
                <w:lang w:val="en-US" w:eastAsia="zh-CN"/>
              </w:rPr>
              <w:t>4500</w:t>
            </w:r>
          </w:p>
        </w:tc>
        <w:tc>
          <w:tcPr>
            <w:tcW w:w="49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30800</w:t>
            </w:r>
          </w:p>
        </w:tc>
        <w:tc>
          <w:tcPr>
            <w:tcW w:w="409" w:type="pct"/>
            <w:tcBorders>
              <w:top w:val="single" w:color="auto" w:sz="4" w:space="0"/>
              <w:left w:val="single" w:color="auto" w:sz="4" w:space="0"/>
              <w:bottom w:val="single" w:color="auto" w:sz="4" w:space="0"/>
              <w:right w:val="single" w:color="auto" w:sz="4" w:space="0"/>
            </w:tcBorders>
            <w:noWrap/>
            <w:vAlign w:val="center"/>
          </w:tcPr>
          <w:p>
            <w:pPr>
              <w:rPr>
                <w:color w:val="auto"/>
                <w:sz w:val="21"/>
                <w:szCs w:val="21"/>
              </w:rPr>
            </w:pPr>
          </w:p>
          <w:p>
            <w:pPr>
              <w:jc w:val="both"/>
              <w:rPr>
                <w:rFonts w:hint="eastAsia" w:eastAsia="宋体"/>
                <w:color w:val="auto"/>
                <w:sz w:val="21"/>
                <w:szCs w:val="21"/>
                <w:lang w:val="en-US" w:eastAsia="zh-CN"/>
              </w:rPr>
            </w:pPr>
          </w:p>
        </w:tc>
      </w:tr>
      <w:tr>
        <w:tblPrEx>
          <w:tblCellMar>
            <w:top w:w="0" w:type="dxa"/>
            <w:left w:w="108" w:type="dxa"/>
            <w:bottom w:w="0" w:type="dxa"/>
            <w:right w:w="108" w:type="dxa"/>
          </w:tblCellMar>
        </w:tblPrEx>
        <w:trPr>
          <w:trHeight w:val="577" w:hRule="atLeast"/>
        </w:trPr>
        <w:tc>
          <w:tcPr>
            <w:tcW w:w="27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rPr>
              <w:t>合计</w:t>
            </w:r>
          </w:p>
        </w:tc>
        <w:tc>
          <w:tcPr>
            <w:tcW w:w="4312" w:type="pct"/>
            <w:gridSpan w:val="8"/>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213600.00元</w:t>
            </w:r>
          </w:p>
        </w:tc>
        <w:tc>
          <w:tcPr>
            <w:tcW w:w="409" w:type="pct"/>
            <w:tcBorders>
              <w:top w:val="single" w:color="auto" w:sz="4" w:space="0"/>
              <w:left w:val="single" w:color="000000" w:sz="4" w:space="0"/>
              <w:bottom w:val="single" w:color="000000" w:sz="4" w:space="0"/>
              <w:right w:val="single" w:color="000000" w:sz="4" w:space="0"/>
            </w:tcBorders>
            <w:noWrap/>
            <w:vAlign w:val="center"/>
          </w:tcPr>
          <w:p>
            <w:pPr>
              <w:jc w:val="center"/>
              <w:rPr>
                <w:color w:val="auto"/>
                <w:sz w:val="24"/>
                <w:szCs w:val="24"/>
              </w:rPr>
            </w:pPr>
          </w:p>
        </w:tc>
      </w:tr>
      <w:bookmarkEnd w:id="40"/>
      <w:bookmarkEnd w:id="41"/>
    </w:tbl>
    <w:p>
      <w:pPr>
        <w:pStyle w:val="2"/>
        <w:ind w:firstLine="210" w:firstLineChars="100"/>
        <w:rPr>
          <w:rFonts w:hint="eastAsia"/>
          <w:color w:val="auto"/>
          <w:lang w:val="en-US"/>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注：1.供货商中选后，需要提供参数表中每一种农药2种以上具有同一药性但不同的品牌农药，便于使用过程中植物产生抗药性能替换使用，不同品牌的最终结算单价均按投标单价计算。</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2.如供货商提供的货物“规格”与表内“规格”不一样，应按采购人给的“规格”换算投标单价，并保证供货总量不变。</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3.供货商每次送货时提供产品检验报告或合格证。</w:t>
      </w:r>
    </w:p>
    <w:p>
      <w:pPr>
        <w:pStyle w:val="2"/>
        <w:spacing w:before="66" w:line="400" w:lineRule="exact"/>
        <w:ind w:right="890" w:firstLine="240" w:firstLineChars="100"/>
        <w:rPr>
          <w:rFonts w:hint="eastAsia"/>
          <w:color w:val="auto"/>
          <w:sz w:val="24"/>
          <w:szCs w:val="24"/>
          <w:highlight w:val="none"/>
        </w:rPr>
      </w:pPr>
      <w:r>
        <w:rPr>
          <w:rFonts w:hint="eastAsia" w:ascii="宋体" w:hAnsi="宋体" w:eastAsia="宋体" w:cs="宋体"/>
          <w:bCs/>
          <w:color w:val="auto"/>
          <w:sz w:val="24"/>
          <w:highlight w:val="none"/>
          <w:lang w:val="en-US" w:eastAsia="zh-CN"/>
        </w:rPr>
        <w:t>4.最高限价单价为含税单价</w:t>
      </w:r>
      <w:r>
        <w:rPr>
          <w:rFonts w:hint="eastAsia"/>
          <w:color w:val="auto"/>
          <w:sz w:val="24"/>
          <w:szCs w:val="24"/>
          <w:highlight w:val="none"/>
          <w:lang w:val="en-US" w:eastAsia="zh-CN"/>
        </w:rPr>
        <w:t>。</w:t>
      </w:r>
    </w:p>
    <w:p>
      <w:pPr>
        <w:numPr>
          <w:ilvl w:val="0"/>
          <w:numId w:val="0"/>
        </w:numPr>
        <w:outlineLvl w:val="1"/>
        <w:rPr>
          <w:rFonts w:hint="eastAsia" w:ascii="宋体" w:hAnsi="宋体"/>
          <w:b/>
          <w:color w:val="auto"/>
          <w:sz w:val="32"/>
          <w:highlight w:val="none"/>
          <w:lang w:eastAsia="zh-CN"/>
        </w:rPr>
      </w:pPr>
      <w:r>
        <w:rPr>
          <w:rFonts w:hint="eastAsia" w:ascii="宋体" w:hAnsi="宋体"/>
          <w:b/>
          <w:color w:val="auto"/>
          <w:sz w:val="32"/>
          <w:highlight w:val="none"/>
          <w:lang w:eastAsia="zh-CN"/>
        </w:rPr>
        <w:t>三、</w:t>
      </w:r>
      <w:r>
        <w:rPr>
          <w:rFonts w:hint="eastAsia" w:ascii="宋体" w:hAnsi="宋体"/>
          <w:b/>
          <w:color w:val="auto"/>
          <w:sz w:val="32"/>
          <w:highlight w:val="none"/>
          <w:lang w:val="en-US" w:eastAsia="zh-CN"/>
        </w:rPr>
        <w:t>服务</w:t>
      </w:r>
      <w:r>
        <w:rPr>
          <w:rFonts w:hint="eastAsia" w:ascii="宋体" w:hAnsi="宋体"/>
          <w:b/>
          <w:color w:val="auto"/>
          <w:sz w:val="32"/>
          <w:highlight w:val="none"/>
          <w:lang w:eastAsia="zh-CN"/>
        </w:rPr>
        <w:t>要求</w:t>
      </w:r>
    </w:p>
    <w:p>
      <w:pPr>
        <w:pStyle w:val="2"/>
        <w:spacing w:before="66" w:line="400" w:lineRule="exact"/>
        <w:ind w:right="890" w:firstLine="480" w:firstLineChars="200"/>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为确保采购的产品质量符合出厂标准，成交供应商须在领取中标通知书前提供参数清单中所有产品生产厂商或第三方检测机构202</w:t>
      </w:r>
      <w:r>
        <w:rPr>
          <w:rFonts w:hint="eastAsia"/>
          <w:color w:val="auto"/>
          <w:sz w:val="24"/>
          <w:szCs w:val="24"/>
          <w:lang w:val="en-US" w:eastAsia="zh-CN"/>
        </w:rPr>
        <w:t>4</w:t>
      </w:r>
      <w:r>
        <w:rPr>
          <w:rFonts w:hint="eastAsia"/>
          <w:color w:val="auto"/>
          <w:sz w:val="24"/>
          <w:szCs w:val="24"/>
          <w:lang w:eastAsia="zh-CN"/>
        </w:rPr>
        <w:t>年度以后的检测报告原件，此要求为实质性要求，无法提供作废标处理（产品检测标准应符合国家或相关行业质检标准且满足本项目参数要求实质性要求）。如供应商提供假冒伪劣产品，采购人有权要求停止供货或拒收，并向相关部门进行举报。</w:t>
      </w:r>
    </w:p>
    <w:p>
      <w:pPr>
        <w:pStyle w:val="2"/>
        <w:spacing w:before="66" w:line="400" w:lineRule="exact"/>
        <w:ind w:right="890" w:firstLine="480" w:firstLineChars="200"/>
        <w:rPr>
          <w:rFonts w:hint="eastAsia"/>
          <w:color w:val="auto"/>
          <w:sz w:val="24"/>
          <w:szCs w:val="24"/>
          <w:lang w:eastAsia="zh-CN"/>
        </w:rPr>
      </w:pPr>
      <w:r>
        <w:rPr>
          <w:rFonts w:hint="eastAsia"/>
          <w:color w:val="auto"/>
          <w:sz w:val="24"/>
          <w:szCs w:val="24"/>
          <w:lang w:eastAsia="zh-CN"/>
        </w:rPr>
        <w:t>2、供应商交货时提供的农药化肥等生产日期在最近10个月内。</w:t>
      </w:r>
    </w:p>
    <w:p>
      <w:pPr>
        <w:pStyle w:val="2"/>
        <w:spacing w:before="66" w:line="400" w:lineRule="exact"/>
        <w:ind w:right="890" w:firstLine="480" w:firstLineChars="200"/>
        <w:rPr>
          <w:rFonts w:hint="eastAsia"/>
          <w:color w:val="auto"/>
          <w:sz w:val="24"/>
          <w:szCs w:val="24"/>
          <w:lang w:eastAsia="zh-CN"/>
        </w:rPr>
      </w:pPr>
      <w:r>
        <w:rPr>
          <w:rFonts w:hint="eastAsia"/>
          <w:color w:val="auto"/>
          <w:sz w:val="24"/>
          <w:szCs w:val="24"/>
          <w:lang w:eastAsia="zh-CN"/>
        </w:rPr>
        <w:t>3、交货过程中如发现漏袋、损坏等质量不合格情况，供应商应免费无条件、快速的予以更换；否则，采购人有权拒绝收货。</w:t>
      </w:r>
    </w:p>
    <w:p>
      <w:pPr>
        <w:pStyle w:val="2"/>
        <w:spacing w:before="66" w:line="400" w:lineRule="exact"/>
        <w:ind w:right="890" w:firstLine="480" w:firstLineChars="200"/>
        <w:rPr>
          <w:rFonts w:hint="eastAsia"/>
          <w:color w:val="auto"/>
          <w:sz w:val="24"/>
          <w:szCs w:val="24"/>
          <w:lang w:eastAsia="zh-CN"/>
        </w:rPr>
      </w:pPr>
      <w:r>
        <w:rPr>
          <w:rFonts w:hint="eastAsia"/>
          <w:color w:val="auto"/>
          <w:sz w:val="24"/>
          <w:szCs w:val="24"/>
          <w:lang w:eastAsia="zh-CN"/>
        </w:rPr>
        <w:t>4、供应商经营产品如出现严重质量问题，暂停供应商供货，并追究相关法律责任。</w:t>
      </w:r>
    </w:p>
    <w:p>
      <w:pPr>
        <w:pStyle w:val="2"/>
        <w:spacing w:before="66" w:line="400" w:lineRule="exact"/>
        <w:ind w:right="890" w:firstLine="480" w:firstLineChars="200"/>
        <w:rPr>
          <w:rFonts w:hint="eastAsia"/>
          <w:color w:val="auto"/>
          <w:sz w:val="24"/>
          <w:szCs w:val="24"/>
        </w:rPr>
      </w:pPr>
      <w:r>
        <w:rPr>
          <w:rFonts w:hint="eastAsia"/>
          <w:color w:val="auto"/>
          <w:sz w:val="24"/>
          <w:szCs w:val="24"/>
        </w:rPr>
        <w:t>5、成交供应商须指派专人负责与采购人联系供货及售后服务事宜。</w:t>
      </w:r>
    </w:p>
    <w:p>
      <w:pPr>
        <w:pStyle w:val="2"/>
        <w:spacing w:before="66" w:line="400" w:lineRule="exact"/>
        <w:ind w:right="890" w:firstLine="480" w:firstLineChars="200"/>
        <w:rPr>
          <w:rFonts w:hint="eastAsia" w:hAnsi="宋体" w:cs="宋体"/>
          <w:bCs/>
          <w:color w:val="auto"/>
          <w:sz w:val="24"/>
        </w:rPr>
      </w:pPr>
      <w:r>
        <w:rPr>
          <w:rFonts w:hint="eastAsia" w:ascii="宋体" w:hAnsi="宋体" w:eastAsia="宋体" w:cs="宋体"/>
          <w:bCs/>
          <w:color w:val="auto"/>
          <w:sz w:val="24"/>
          <w:highlight w:val="none"/>
          <w:lang w:val="en-US" w:eastAsia="zh-CN"/>
        </w:rPr>
        <w:t>6、中选供应商需提供样品，</w:t>
      </w:r>
      <w:r>
        <w:rPr>
          <w:rFonts w:hint="eastAsia" w:hAnsi="宋体" w:cs="宋体"/>
          <w:bCs/>
          <w:color w:val="auto"/>
          <w:sz w:val="24"/>
        </w:rPr>
        <w:t>采购人对</w:t>
      </w:r>
      <w:r>
        <w:rPr>
          <w:rFonts w:hint="eastAsia" w:hAnsi="宋体" w:cs="宋体"/>
          <w:bCs/>
          <w:color w:val="auto"/>
          <w:sz w:val="24"/>
          <w:lang w:val="en-US" w:eastAsia="zh-CN"/>
        </w:rPr>
        <w:t>中选</w:t>
      </w:r>
      <w:r>
        <w:rPr>
          <w:rFonts w:hint="eastAsia" w:hAnsi="宋体" w:cs="宋体"/>
          <w:bCs/>
          <w:color w:val="auto"/>
          <w:sz w:val="24"/>
        </w:rPr>
        <w:t>供应商提供的样品进行封样，并作为后续到货验收的依据。</w:t>
      </w:r>
    </w:p>
    <w:p>
      <w:pPr>
        <w:pStyle w:val="2"/>
        <w:keepNext w:val="0"/>
        <w:keepLines w:val="0"/>
        <w:pageBreakBefore w:val="0"/>
        <w:widowControl w:val="0"/>
        <w:kinsoku/>
        <w:wordWrap/>
        <w:overflowPunct/>
        <w:topLinePunct w:val="0"/>
        <w:autoSpaceDE/>
        <w:autoSpaceDN/>
        <w:bidi w:val="0"/>
        <w:adjustRightInd/>
        <w:snapToGrid/>
        <w:spacing w:line="360" w:lineRule="exact"/>
        <w:ind w:firstLine="373" w:firstLineChars="116"/>
        <w:textAlignment w:val="auto"/>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四、商务要求</w:t>
      </w:r>
    </w:p>
    <w:p>
      <w:pPr>
        <w:pStyle w:val="2"/>
        <w:spacing w:before="66" w:line="400" w:lineRule="exact"/>
        <w:ind w:right="890" w:firstLine="480" w:firstLineChars="200"/>
        <w:rPr>
          <w:rFonts w:hint="eastAsia"/>
          <w:color w:val="auto"/>
          <w:sz w:val="24"/>
          <w:szCs w:val="24"/>
          <w:lang w:eastAsia="zh-CN"/>
        </w:rPr>
      </w:pPr>
      <w:r>
        <w:rPr>
          <w:rFonts w:hint="eastAsia"/>
          <w:color w:val="auto"/>
          <w:sz w:val="24"/>
          <w:szCs w:val="24"/>
        </w:rPr>
        <w:t>本项目无定金和预付款，每批次供货完成验收合格后，供货商开具等额增值税发票后，由采购人一次性付清货款</w:t>
      </w:r>
      <w:r>
        <w:rPr>
          <w:rFonts w:hint="eastAsia"/>
          <w:color w:val="auto"/>
          <w:sz w:val="24"/>
          <w:szCs w:val="24"/>
          <w:lang w:eastAsia="zh-CN"/>
        </w:rPr>
        <w:t>。</w:t>
      </w:r>
    </w:p>
    <w:p>
      <w:pPr>
        <w:numPr>
          <w:ilvl w:val="0"/>
          <w:numId w:val="0"/>
        </w:numPr>
        <w:ind w:firstLine="321" w:firstLineChars="100"/>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五、其他要求</w:t>
      </w:r>
    </w:p>
    <w:p>
      <w:pPr>
        <w:pStyle w:val="2"/>
        <w:spacing w:before="66" w:line="400" w:lineRule="exact"/>
        <w:ind w:right="89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本项目提供的有机肥符合以下标准：</w:t>
      </w:r>
    </w:p>
    <w:p>
      <w:pPr>
        <w:pStyle w:val="2"/>
        <w:spacing w:before="66" w:line="400" w:lineRule="exact"/>
        <w:ind w:right="89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1.生物有机肥执行标准:NY884-2012及无害化指标，粪大肠菌群数≤100个/g蛔虫卵死亡率&gt;95%。</w:t>
      </w:r>
    </w:p>
    <w:p>
      <w:pPr>
        <w:pStyle w:val="2"/>
        <w:spacing w:before="66" w:line="400" w:lineRule="exact"/>
        <w:ind w:right="890"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2.重金属限量指标: (1) (pd) (以烘干基计)&lt;50mg/kg;(2) (cd)(以烘干基计)&lt;3mg/kg;(3)铬 (cr) (以烘干基计)≤150mg/kg;(4)砷 (As)(以烘干基计≤15mg/ka;(5)汞(Hg) (以烘千基计)2mg/kg。</w:t>
      </w:r>
    </w:p>
    <w:p>
      <w:pPr>
        <w:pStyle w:val="2"/>
        <w:spacing w:before="66" w:line="400" w:lineRule="exact"/>
        <w:ind w:right="890" w:firstLine="480" w:firstLineChars="200"/>
        <w:rPr>
          <w:rFonts w:hint="default" w:ascii="Times New Roman" w:hAnsi="Times New Roman" w:eastAsia="宋体" w:cs="Times New Roman"/>
          <w:color w:val="auto"/>
          <w:sz w:val="24"/>
          <w:szCs w:val="24"/>
          <w:highlight w:val="none"/>
          <w:lang w:val="en-US" w:eastAsia="zh-CN"/>
        </w:rPr>
        <w:sectPr>
          <w:headerReference r:id="rId9" w:type="default"/>
          <w:footerReference r:id="rId10" w:type="default"/>
          <w:type w:val="continuous"/>
          <w:pgSz w:w="11910" w:h="16840"/>
          <w:pgMar w:top="1420" w:right="1020" w:bottom="1180" w:left="1040" w:header="0" w:footer="993" w:gutter="0"/>
          <w:cols w:space="720" w:num="1"/>
        </w:sectPr>
      </w:pPr>
      <w:r>
        <w:rPr>
          <w:rFonts w:hint="eastAsia" w:ascii="Times New Roman" w:hAnsi="Times New Roman" w:eastAsia="宋体" w:cs="Times New Roman"/>
          <w:color w:val="auto"/>
          <w:sz w:val="24"/>
          <w:szCs w:val="24"/>
          <w:highlight w:val="none"/>
          <w:lang w:val="en-US" w:eastAsia="zh-CN"/>
        </w:rPr>
        <w:t>3.外观颜色为褐色或灰褐色，粒状，均匀，无恶臭，无机械杂质。禁止选用粉煤灰，钢渣，污泥，生活垃圾，含有外来入侵物种的物料和法律法规禁止的物料等存在安全隐患的禁用类原料。</w:t>
      </w:r>
    </w:p>
    <w:p>
      <w:pPr>
        <w:spacing w:before="120" w:beforeLines="50" w:after="360" w:afterLines="150"/>
        <w:jc w:val="center"/>
        <w:outlineLvl w:val="0"/>
        <w:rPr>
          <w:rFonts w:hint="eastAsia" w:ascii="黑体" w:hAnsi="黑体" w:eastAsia="黑体"/>
          <w:bCs/>
          <w:color w:val="auto"/>
          <w:sz w:val="32"/>
          <w:szCs w:val="32"/>
          <w:highlight w:val="none"/>
        </w:rPr>
      </w:pPr>
      <w:bookmarkStart w:id="42" w:name="_Toc91771163"/>
      <w:bookmarkStart w:id="43" w:name="_Toc1938"/>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18"/>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18"/>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18"/>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91771164"/>
      <w:bookmarkStart w:id="45" w:name="_Toc17620"/>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含税，税率3%</w:t>
      </w:r>
      <w:r>
        <w:rPr>
          <w:rFonts w:hint="eastAsia"/>
          <w:color w:val="auto"/>
          <w:sz w:val="24"/>
          <w:highlight w:val="none"/>
          <w:lang w:eastAsia="zh-CN"/>
        </w:rPr>
        <w:t>）</w:t>
      </w:r>
      <w:r>
        <w:rPr>
          <w:color w:val="auto"/>
          <w:sz w:val="24"/>
          <w:highlight w:val="none"/>
        </w:rPr>
        <w:t>，报价有效期为询价文件规定的起算之日起90天。</w:t>
      </w:r>
    </w:p>
    <w:p>
      <w:pPr>
        <w:pStyle w:val="5"/>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color w:val="auto"/>
          <w:sz w:val="24"/>
          <w:highlight w:val="none"/>
          <w:lang w:eastAsia="zh-CN"/>
        </w:rPr>
        <w:t>成交合同签订后，按采购人要求供货（分批次）</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91771165"/>
      <w:bookmarkStart w:id="47" w:name="_Toc7264"/>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2、询价保证金缴纳凭证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银行转账</w:t>
      </w:r>
      <w:r>
        <w:rPr>
          <w:rFonts w:hint="eastAsia" w:ascii="宋体" w:hAnsi="宋体" w:eastAsia="宋体" w:cs="Times New Roman"/>
          <w:color w:val="auto"/>
          <w:sz w:val="24"/>
          <w:highlight w:val="none"/>
          <w:lang w:val="en-US" w:eastAsia="zh-CN"/>
        </w:rPr>
        <w:t>凭证</w:t>
      </w:r>
      <w:r>
        <w:rPr>
          <w:rFonts w:hint="eastAsia" w:ascii="宋体" w:hAnsi="宋体" w:eastAsia="宋体" w:cs="Times New Roman"/>
          <w:color w:val="auto"/>
          <w:sz w:val="24"/>
          <w:highlight w:val="none"/>
        </w:rPr>
        <w:t>或银行保函</w:t>
      </w:r>
      <w:r>
        <w:rPr>
          <w:rFonts w:hint="eastAsia" w:ascii="宋体" w:hAnsi="宋体" w:eastAsia="宋体" w:cs="Times New Roman"/>
          <w:color w:val="auto"/>
          <w:sz w:val="24"/>
          <w:highlight w:val="none"/>
          <w:lang w:val="en-US" w:eastAsia="zh-CN"/>
        </w:rPr>
        <w:t>及</w:t>
      </w:r>
      <w:r>
        <w:rPr>
          <w:rFonts w:hint="eastAsia" w:ascii="宋体" w:hAnsi="宋体" w:eastAsia="宋体" w:cs="Times New Roman"/>
          <w:color w:val="auto"/>
          <w:sz w:val="24"/>
          <w:highlight w:val="none"/>
        </w:rPr>
        <w:t>保函保费</w:t>
      </w:r>
      <w:r>
        <w:rPr>
          <w:rFonts w:hint="eastAsia" w:ascii="宋体" w:hAnsi="宋体" w:eastAsia="宋体" w:cs="Times New Roman"/>
          <w:color w:val="auto"/>
          <w:sz w:val="24"/>
          <w:highlight w:val="none"/>
          <w:lang w:val="en-US" w:eastAsia="zh-CN"/>
        </w:rPr>
        <w:t>缴纳凭证</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复印件</w:t>
      </w:r>
      <w:r>
        <w:rPr>
          <w:rFonts w:hint="eastAsia" w:ascii="宋体" w:hAnsi="宋体" w:eastAsia="宋体" w:cs="Times New Roman"/>
          <w:color w:val="auto"/>
          <w:sz w:val="24"/>
          <w:highlight w:val="none"/>
        </w:rPr>
        <w:t>（加盖公章）。</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3、供应商需提供有效期内的《农药经营许可证》</w:t>
      </w:r>
      <w:r>
        <w:rPr>
          <w:rFonts w:hint="eastAsia" w:ascii="宋体" w:hAnsi="宋体" w:eastAsia="宋体" w:cs="Times New Roman"/>
          <w:color w:val="auto"/>
          <w:sz w:val="24"/>
          <w:highlight w:val="none"/>
        </w:rPr>
        <w:t>（加盖公章）</w:t>
      </w:r>
      <w:r>
        <w:rPr>
          <w:rFonts w:hint="eastAsia" w:ascii="宋体" w:hAnsi="宋体" w:eastAsia="宋体" w:cs="Times New Roman"/>
          <w:color w:val="auto"/>
          <w:sz w:val="24"/>
          <w:highlight w:val="none"/>
          <w:lang w:val="en-US" w:eastAsia="zh-CN"/>
        </w:rPr>
        <w:t>；</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4、生物农药需要提供生产厂家农药登记证复印件或中华人民共和国农业农村部 http://zdscxx.moa.gov.cn:8080/nyb/pc/link.jsp?id=1 备案截图</w:t>
      </w:r>
      <w:r>
        <w:rPr>
          <w:rFonts w:hint="eastAsia" w:ascii="宋体" w:hAnsi="宋体" w:eastAsia="宋体" w:cs="Times New Roman"/>
          <w:color w:val="auto"/>
          <w:sz w:val="24"/>
          <w:highlight w:val="none"/>
        </w:rPr>
        <w:t>（加盖公章）</w:t>
      </w:r>
      <w:r>
        <w:rPr>
          <w:rFonts w:hint="eastAsia" w:ascii="宋体" w:hAnsi="宋体" w:eastAsia="宋体" w:cs="Times New Roman"/>
          <w:color w:val="auto"/>
          <w:sz w:val="24"/>
          <w:highlight w:val="none"/>
          <w:lang w:val="en-US" w:eastAsia="zh-CN"/>
        </w:rPr>
        <w:t>；</w:t>
      </w:r>
    </w:p>
    <w:p>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5、有机肥需要提供生产厂家肥料登记证复印件或中华人民共和国农业农村部 </w:t>
      </w:r>
      <w:r>
        <w:rPr>
          <w:rFonts w:hint="eastAsia" w:ascii="宋体" w:hAnsi="宋体" w:eastAsia="宋体" w:cs="Times New Roman"/>
          <w:color w:val="auto"/>
          <w:sz w:val="24"/>
          <w:highlight w:val="none"/>
          <w:lang w:val="en-US" w:eastAsia="zh-CN"/>
        </w:rPr>
        <w:fldChar w:fldCharType="begin"/>
      </w:r>
      <w:r>
        <w:rPr>
          <w:rFonts w:hint="eastAsia" w:ascii="宋体" w:hAnsi="宋体" w:eastAsia="宋体" w:cs="Times New Roman"/>
          <w:color w:val="auto"/>
          <w:sz w:val="24"/>
          <w:highlight w:val="none"/>
          <w:lang w:val="en-US" w:eastAsia="zh-CN"/>
        </w:rPr>
        <w:instrText xml:space="preserve"> HYPERLINK "http://202.127.42.127/moafer/list.js" \h </w:instrText>
      </w:r>
      <w:r>
        <w:rPr>
          <w:rFonts w:hint="eastAsia" w:ascii="宋体" w:hAnsi="宋体" w:eastAsia="宋体" w:cs="Times New Roman"/>
          <w:color w:val="auto"/>
          <w:sz w:val="24"/>
          <w:highlight w:val="none"/>
          <w:lang w:val="en-US" w:eastAsia="zh-CN"/>
        </w:rPr>
        <w:fldChar w:fldCharType="separate"/>
      </w:r>
      <w:r>
        <w:rPr>
          <w:rFonts w:hint="eastAsia" w:ascii="宋体" w:hAnsi="宋体" w:eastAsia="宋体" w:cs="Times New Roman"/>
          <w:color w:val="auto"/>
          <w:sz w:val="24"/>
          <w:highlight w:val="none"/>
          <w:lang w:val="en-US" w:eastAsia="zh-CN"/>
        </w:rPr>
        <w:t>http://202.127.42.127/moafer/list.js</w:t>
      </w:r>
      <w:r>
        <w:rPr>
          <w:rFonts w:hint="eastAsia" w:ascii="宋体" w:hAnsi="宋体" w:eastAsia="宋体" w:cs="Times New Roman"/>
          <w:color w:val="auto"/>
          <w:sz w:val="24"/>
          <w:highlight w:val="none"/>
          <w:lang w:val="en-US" w:eastAsia="zh-CN"/>
        </w:rPr>
        <w:fldChar w:fldCharType="end"/>
      </w:r>
      <w:r>
        <w:rPr>
          <w:rFonts w:hint="eastAsia" w:ascii="宋体" w:hAnsi="宋体" w:eastAsia="宋体" w:cs="Times New Roman"/>
          <w:color w:val="auto"/>
          <w:sz w:val="24"/>
          <w:highlight w:val="none"/>
          <w:lang w:val="en-US" w:eastAsia="zh-CN"/>
        </w:rPr>
        <w:t>备案截图</w:t>
      </w:r>
      <w:r>
        <w:rPr>
          <w:rFonts w:hint="eastAsia" w:ascii="宋体" w:hAnsi="宋体" w:eastAsia="宋体" w:cs="Times New Roman"/>
          <w:color w:val="auto"/>
          <w:sz w:val="24"/>
          <w:highlight w:val="none"/>
        </w:rPr>
        <w:t>（加盖公章）</w:t>
      </w:r>
      <w:r>
        <w:rPr>
          <w:rFonts w:hint="eastAsia" w:ascii="宋体" w:hAnsi="宋体" w:eastAsia="宋体" w:cs="Times New Roman"/>
          <w:color w:val="auto"/>
          <w:sz w:val="24"/>
          <w:highlight w:val="none"/>
          <w:lang w:val="en-US" w:eastAsia="zh-CN"/>
        </w:rPr>
        <w:t>。</w:t>
      </w:r>
    </w:p>
    <w:p>
      <w:pPr>
        <w:pStyle w:val="2"/>
        <w:rPr>
          <w:rFonts w:hint="eastAsia"/>
          <w:color w:val="auto"/>
          <w:highlight w:val="none"/>
        </w:rPr>
      </w:pPr>
    </w:p>
    <w:p>
      <w:pPr>
        <w:pStyle w:val="2"/>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6"/>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1"/>
        <w:tblpPr w:leftFromText="180" w:rightFromText="180" w:vertAnchor="text" w:horzAnchor="page" w:tblpX="1374" w:tblpY="815"/>
        <w:tblOverlap w:val="never"/>
        <w:tblW w:w="5105" w:type="pct"/>
        <w:tblInd w:w="0" w:type="dxa"/>
        <w:tblLayout w:type="fixed"/>
        <w:tblCellMar>
          <w:top w:w="0" w:type="dxa"/>
          <w:left w:w="108" w:type="dxa"/>
          <w:bottom w:w="0" w:type="dxa"/>
          <w:right w:w="108" w:type="dxa"/>
        </w:tblCellMar>
      </w:tblPr>
      <w:tblGrid>
        <w:gridCol w:w="511"/>
        <w:gridCol w:w="1125"/>
        <w:gridCol w:w="525"/>
        <w:gridCol w:w="1005"/>
        <w:gridCol w:w="780"/>
        <w:gridCol w:w="1206"/>
        <w:gridCol w:w="457"/>
        <w:gridCol w:w="497"/>
        <w:gridCol w:w="843"/>
        <w:gridCol w:w="883"/>
        <w:gridCol w:w="869"/>
      </w:tblGrid>
      <w:tr>
        <w:tblPrEx>
          <w:tblCellMar>
            <w:top w:w="0" w:type="dxa"/>
            <w:left w:w="108" w:type="dxa"/>
            <w:bottom w:w="0" w:type="dxa"/>
            <w:right w:w="108" w:type="dxa"/>
          </w:tblCellMar>
        </w:tblPrEx>
        <w:trPr>
          <w:trHeight w:val="85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color w:val="auto"/>
                <w:sz w:val="24"/>
                <w:szCs w:val="24"/>
              </w:rPr>
            </w:pPr>
            <w:r>
              <w:rPr>
                <w:rFonts w:hint="eastAsia"/>
                <w:color w:val="auto"/>
                <w:sz w:val="24"/>
                <w:szCs w:val="24"/>
                <w:lang w:val="en-US"/>
              </w:rPr>
              <w:t>序号</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名称</w:t>
            </w:r>
          </w:p>
        </w:tc>
        <w:tc>
          <w:tcPr>
            <w:tcW w:w="30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eastAsia="宋体"/>
                <w:color w:val="auto"/>
                <w:sz w:val="24"/>
                <w:szCs w:val="24"/>
                <w:lang w:val="en-US" w:eastAsia="zh-CN"/>
              </w:rPr>
              <w:t>规格</w:t>
            </w:r>
          </w:p>
        </w:tc>
        <w:tc>
          <w:tcPr>
            <w:tcW w:w="57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剂型</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含量</w:t>
            </w:r>
          </w:p>
        </w:tc>
        <w:tc>
          <w:tcPr>
            <w:tcW w:w="6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eastAsia="zh-CN"/>
              </w:rPr>
            </w:pPr>
            <w:r>
              <w:rPr>
                <w:rFonts w:hint="eastAsia"/>
                <w:color w:val="auto"/>
                <w:sz w:val="24"/>
                <w:szCs w:val="24"/>
                <w:lang w:val="en-US"/>
              </w:rPr>
              <w:t>规格</w:t>
            </w:r>
            <w:r>
              <w:rPr>
                <w:rFonts w:hint="eastAsia"/>
                <w:color w:val="auto"/>
                <w:sz w:val="24"/>
                <w:szCs w:val="24"/>
                <w:lang w:val="en-US" w:eastAsia="zh-CN"/>
              </w:rPr>
              <w:t>产品质量标准证号</w:t>
            </w: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单位</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数量</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auto"/>
                <w:sz w:val="24"/>
                <w:szCs w:val="24"/>
              </w:rPr>
            </w:pPr>
            <w:r>
              <w:rPr>
                <w:rFonts w:hint="eastAsia"/>
                <w:color w:val="auto"/>
                <w:sz w:val="24"/>
                <w:szCs w:val="24"/>
                <w:lang w:val="en-US"/>
              </w:rPr>
              <w:t>单价（元）</w:t>
            </w: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小计</w:t>
            </w:r>
          </w:p>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（元）</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备注</w:t>
            </w:r>
          </w:p>
        </w:tc>
      </w:tr>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lang w:val="en-US"/>
              </w:rPr>
              <w:t>1</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氯虫苯甲酰胺</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val="en-US"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val="en-US"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val="en-US"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2</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lang w:eastAsia="zh-CN"/>
              </w:rPr>
            </w:pPr>
          </w:p>
        </w:tc>
      </w:tr>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2</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ind w:left="0" w:firstLine="0" w:firstLineChars="0"/>
              <w:jc w:val="center"/>
              <w:textAlignment w:val="center"/>
              <w:rPr>
                <w:rFonts w:hint="eastAsia" w:eastAsia="宋体"/>
                <w:color w:val="auto"/>
                <w:sz w:val="21"/>
                <w:szCs w:val="21"/>
                <w:lang w:eastAsia="zh-CN"/>
              </w:rPr>
            </w:pPr>
            <w:r>
              <w:rPr>
                <w:rFonts w:hint="eastAsia" w:cs="宋体"/>
                <w:color w:val="auto"/>
                <w:sz w:val="21"/>
                <w:szCs w:val="21"/>
                <w:lang w:eastAsia="zh-CN"/>
              </w:rPr>
              <w:t>噻虫嗪·高效氯氟氰菊酯</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lang w:val="en-US"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lang w:val="en-US"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color w:val="auto"/>
                <w:sz w:val="24"/>
                <w:szCs w:val="24"/>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4</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lang w:eastAsia="zh-CN"/>
              </w:rPr>
            </w:pPr>
          </w:p>
        </w:tc>
      </w:tr>
      <w:tr>
        <w:tblPrEx>
          <w:tblCellMar>
            <w:top w:w="0" w:type="dxa"/>
            <w:left w:w="108" w:type="dxa"/>
            <w:bottom w:w="0" w:type="dxa"/>
            <w:right w:w="108" w:type="dxa"/>
          </w:tblCellMar>
        </w:tblPrEx>
        <w:trPr>
          <w:trHeight w:val="7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3</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cs="宋体"/>
                <w:b w:val="0"/>
                <w:bCs w:val="0"/>
                <w:color w:val="auto"/>
                <w:sz w:val="21"/>
                <w:szCs w:val="21"/>
                <w:u w:val="none"/>
                <w:lang w:eastAsia="zh-CN"/>
              </w:rPr>
              <w:t>阿维</w:t>
            </w:r>
            <w:r>
              <w:rPr>
                <w:rFonts w:hint="eastAsia" w:ascii="宋体" w:hAnsi="宋体" w:eastAsia="宋体" w:cs="宋体"/>
                <w:b w:val="0"/>
                <w:bCs w:val="0"/>
                <w:color w:val="auto"/>
                <w:sz w:val="21"/>
                <w:szCs w:val="21"/>
                <w:u w:val="none"/>
                <w:lang w:eastAsia="zh-CN"/>
              </w:rPr>
              <w:t>.</w:t>
            </w:r>
            <w:r>
              <w:rPr>
                <w:rFonts w:hint="eastAsia" w:cs="宋体"/>
                <w:color w:val="auto"/>
                <w:sz w:val="21"/>
                <w:szCs w:val="21"/>
                <w:lang w:eastAsia="zh-CN"/>
              </w:rPr>
              <w:t>乙螨唑</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eastAsia="宋体"/>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4"/>
                <w:szCs w:val="24"/>
                <w:lang w:val="en-US"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color w:val="auto"/>
                <w:sz w:val="24"/>
                <w:szCs w:val="24"/>
                <w:lang w:val="en-US"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default"/>
                <w:color w:val="auto"/>
                <w:sz w:val="24"/>
                <w:szCs w:val="24"/>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3</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pStyle w:val="2"/>
              <w:ind w:firstLine="240" w:firstLineChars="100"/>
              <w:jc w:val="both"/>
              <w:rPr>
                <w:rFonts w:hint="default"/>
                <w:color w:val="auto"/>
                <w:sz w:val="24"/>
                <w:szCs w:val="24"/>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eastAsia="宋体"/>
                <w:color w:val="auto"/>
                <w:sz w:val="24"/>
                <w:szCs w:val="24"/>
                <w:lang w:eastAsia="zh-CN"/>
              </w:rPr>
            </w:pPr>
          </w:p>
        </w:tc>
      </w:tr>
      <w:tr>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4</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s="宋体"/>
                <w:color w:val="000000" w:themeColor="text1"/>
                <w:sz w:val="21"/>
                <w:szCs w:val="21"/>
                <w:highlight w:val="none"/>
                <w:lang w:val="en-US" w:eastAsia="zh-CN" w:bidi="zh-CN"/>
                <w14:textFill>
                  <w14:solidFill>
                    <w14:schemeClr w14:val="tx1"/>
                  </w14:solidFill>
                </w14:textFill>
              </w:rPr>
              <w:t>甲维·虫螨腈</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color w:val="auto"/>
                <w:sz w:val="24"/>
                <w:szCs w:val="24"/>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eastAsia="zh-CN"/>
              </w:rPr>
            </w:pPr>
            <w:r>
              <w:rPr>
                <w:rFonts w:hint="eastAsia"/>
                <w:color w:val="auto"/>
                <w:sz w:val="24"/>
                <w:szCs w:val="24"/>
                <w:lang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r>
              <w:rPr>
                <w:rFonts w:hint="eastAsia"/>
                <w:color w:val="auto"/>
                <w:sz w:val="24"/>
                <w:szCs w:val="24"/>
                <w:lang w:val="en-US" w:eastAsia="zh-CN"/>
              </w:rPr>
              <w:t>2</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ind w:firstLine="240" w:firstLineChars="100"/>
              <w:jc w:val="both"/>
              <w:rPr>
                <w:rFonts w:hint="eastAsia" w:eastAsia="宋体"/>
                <w:color w:val="auto"/>
                <w:sz w:val="24"/>
                <w:szCs w:val="24"/>
                <w:lang w:val="en-US" w:eastAsia="zh-CN"/>
              </w:rPr>
            </w:pPr>
          </w:p>
        </w:tc>
      </w:tr>
      <w:tr>
        <w:tblPrEx>
          <w:tblCellMar>
            <w:top w:w="0" w:type="dxa"/>
            <w:left w:w="108" w:type="dxa"/>
            <w:bottom w:w="0" w:type="dxa"/>
            <w:right w:w="108" w:type="dxa"/>
          </w:tblCellMar>
        </w:tblPrEx>
        <w:trPr>
          <w:trHeight w:val="669"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5</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s="宋体"/>
                <w:color w:val="auto"/>
                <w:sz w:val="21"/>
                <w:szCs w:val="21"/>
                <w:lang w:eastAsia="zh-CN"/>
              </w:rPr>
              <w:t>高效氯氟氰菊酯</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eastAsia="宋体"/>
                <w:color w:val="auto"/>
                <w:sz w:val="24"/>
                <w:szCs w:val="24"/>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eastAsia="zh-CN"/>
              </w:rPr>
            </w:pPr>
            <w:r>
              <w:rPr>
                <w:rFonts w:hint="eastAsia"/>
                <w:color w:val="auto"/>
                <w:sz w:val="24"/>
                <w:szCs w:val="24"/>
                <w:lang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r>
              <w:rPr>
                <w:rFonts w:hint="eastAsia"/>
                <w:color w:val="auto"/>
                <w:sz w:val="24"/>
                <w:szCs w:val="24"/>
                <w:lang w:val="en-US" w:eastAsia="zh-CN"/>
              </w:rPr>
              <w:t>5</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ind w:firstLine="240" w:firstLineChars="100"/>
              <w:jc w:val="both"/>
              <w:rPr>
                <w:rFonts w:hint="eastAsia" w:eastAsia="宋体"/>
                <w:color w:val="auto"/>
                <w:sz w:val="24"/>
                <w:szCs w:val="24"/>
                <w:lang w:val="en-US" w:eastAsia="zh-CN"/>
              </w:rPr>
            </w:pPr>
          </w:p>
        </w:tc>
      </w:tr>
      <w:tr>
        <w:tblPrEx>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6</w:t>
            </w:r>
          </w:p>
        </w:tc>
        <w:tc>
          <w:tcPr>
            <w:tcW w:w="6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肖硝酚钠</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宋体"/>
                <w:color w:val="auto"/>
                <w:sz w:val="24"/>
                <w:szCs w:val="24"/>
                <w:lang w:val="en-US" w:eastAsia="zh-CN"/>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eastAsia="宋体"/>
                <w:color w:val="auto"/>
                <w:sz w:val="24"/>
                <w:szCs w:val="24"/>
                <w:lang w:eastAsia="zh-CN"/>
              </w:rPr>
            </w:pPr>
            <w:r>
              <w:rPr>
                <w:rFonts w:hint="eastAsia"/>
                <w:color w:val="auto"/>
                <w:sz w:val="24"/>
                <w:szCs w:val="24"/>
                <w:lang w:eastAsia="zh-CN"/>
              </w:rPr>
              <w:t>件</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r>
              <w:rPr>
                <w:rFonts w:hint="eastAsia"/>
                <w:color w:val="auto"/>
                <w:sz w:val="24"/>
                <w:szCs w:val="24"/>
                <w:lang w:val="en-US" w:eastAsia="zh-CN"/>
              </w:rPr>
              <w:t>2</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p>
        </w:tc>
        <w:tc>
          <w:tcPr>
            <w:tcW w:w="5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000000" w:sz="4" w:space="0"/>
              <w:right w:val="single" w:color="000000" w:sz="4" w:space="0"/>
            </w:tcBorders>
            <w:noWrap/>
            <w:vAlign w:val="center"/>
          </w:tcPr>
          <w:p>
            <w:pPr>
              <w:ind w:firstLine="240" w:firstLineChars="100"/>
              <w:jc w:val="both"/>
              <w:rPr>
                <w:rFonts w:hint="eastAsia" w:eastAsia="宋体"/>
                <w:color w:val="auto"/>
                <w:sz w:val="24"/>
                <w:szCs w:val="24"/>
                <w:lang w:val="en-US" w:eastAsia="zh-CN"/>
              </w:rPr>
            </w:pPr>
          </w:p>
        </w:tc>
      </w:tr>
      <w:tr>
        <w:tblPrEx>
          <w:tblCellMar>
            <w:top w:w="0" w:type="dxa"/>
            <w:left w:w="108" w:type="dxa"/>
            <w:bottom w:w="0" w:type="dxa"/>
            <w:right w:w="108" w:type="dxa"/>
          </w:tblCellMar>
        </w:tblPrEx>
        <w:trPr>
          <w:trHeight w:val="612"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7</w:t>
            </w:r>
          </w:p>
        </w:tc>
        <w:tc>
          <w:tcPr>
            <w:tcW w:w="646"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苦参碱</w:t>
            </w:r>
          </w:p>
        </w:tc>
        <w:tc>
          <w:tcPr>
            <w:tcW w:w="30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57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44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lang w:eastAsia="zh-CN"/>
              </w:rPr>
            </w:pPr>
          </w:p>
        </w:tc>
        <w:tc>
          <w:tcPr>
            <w:tcW w:w="693"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eastAsia="宋体"/>
                <w:color w:val="auto"/>
                <w:sz w:val="24"/>
                <w:szCs w:val="24"/>
                <w:lang w:val="en-US" w:eastAsia="zh-CN"/>
              </w:rPr>
            </w:pPr>
          </w:p>
        </w:tc>
        <w:tc>
          <w:tcPr>
            <w:tcW w:w="262"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eastAsia="宋体"/>
                <w:color w:val="auto"/>
                <w:sz w:val="24"/>
                <w:szCs w:val="24"/>
                <w:lang w:eastAsia="zh-CN"/>
              </w:rPr>
            </w:pPr>
            <w:r>
              <w:rPr>
                <w:rFonts w:hint="eastAsia"/>
                <w:color w:val="auto"/>
                <w:sz w:val="24"/>
                <w:szCs w:val="24"/>
                <w:lang w:eastAsia="zh-CN"/>
              </w:rPr>
              <w:t>件</w:t>
            </w:r>
          </w:p>
        </w:tc>
        <w:tc>
          <w:tcPr>
            <w:tcW w:w="285"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r>
              <w:rPr>
                <w:rFonts w:hint="eastAsia"/>
                <w:color w:val="auto"/>
                <w:sz w:val="24"/>
                <w:szCs w:val="24"/>
                <w:lang w:val="en-US" w:eastAsia="zh-CN"/>
              </w:rPr>
              <w:t>1</w:t>
            </w:r>
          </w:p>
        </w:tc>
        <w:tc>
          <w:tcPr>
            <w:tcW w:w="484"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eastAsia="宋体"/>
                <w:color w:val="auto"/>
                <w:sz w:val="24"/>
                <w:szCs w:val="24"/>
                <w:lang w:val="en-US" w:eastAsia="zh-CN"/>
              </w:rPr>
            </w:pPr>
          </w:p>
        </w:tc>
        <w:tc>
          <w:tcPr>
            <w:tcW w:w="507"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000000" w:sz="4" w:space="0"/>
              <w:left w:val="single" w:color="000000" w:sz="4" w:space="0"/>
              <w:bottom w:val="single" w:color="auto" w:sz="4" w:space="0"/>
              <w:right w:val="single" w:color="000000" w:sz="4" w:space="0"/>
            </w:tcBorders>
            <w:noWrap/>
            <w:vAlign w:val="center"/>
          </w:tcPr>
          <w:p>
            <w:pPr>
              <w:ind w:firstLine="240" w:firstLineChars="100"/>
              <w:jc w:val="both"/>
              <w:rPr>
                <w:rFonts w:hint="eastAsia" w:eastAsia="宋体"/>
                <w:color w:val="auto"/>
                <w:sz w:val="24"/>
                <w:szCs w:val="24"/>
                <w:lang w:val="en-US" w:eastAsia="zh-CN"/>
              </w:rPr>
            </w:pPr>
          </w:p>
        </w:tc>
      </w:tr>
      <w:tr>
        <w:tblPrEx>
          <w:tblCellMar>
            <w:top w:w="0" w:type="dxa"/>
            <w:left w:w="108" w:type="dxa"/>
            <w:bottom w:w="0" w:type="dxa"/>
            <w:right w:w="108" w:type="dxa"/>
          </w:tblCellMar>
        </w:tblPrEx>
        <w:trPr>
          <w:trHeight w:val="754"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8</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1"/>
                <w:szCs w:val="21"/>
                <w:lang w:val="en-US" w:eastAsia="zh-CN"/>
              </w:rPr>
            </w:pPr>
            <w:r>
              <w:rPr>
                <w:rFonts w:hint="eastAsia"/>
                <w:color w:val="auto"/>
                <w:sz w:val="21"/>
                <w:szCs w:val="21"/>
                <w:lang w:val="en-US" w:eastAsia="zh-CN"/>
              </w:rPr>
              <w:t>24-表芸苔素内酯</w:t>
            </w:r>
          </w:p>
        </w:tc>
        <w:tc>
          <w:tcPr>
            <w:tcW w:w="30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val="en-US" w:eastAsia="zh-CN"/>
              </w:rPr>
            </w:pPr>
          </w:p>
        </w:tc>
        <w:tc>
          <w:tcPr>
            <w:tcW w:w="26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4</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671" w:hRule="atLeast"/>
        </w:trPr>
        <w:tc>
          <w:tcPr>
            <w:tcW w:w="293"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9</w:t>
            </w:r>
          </w:p>
        </w:tc>
        <w:tc>
          <w:tcPr>
            <w:tcW w:w="646"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氨基寡糖素</w:t>
            </w:r>
          </w:p>
          <w:p>
            <w:pPr>
              <w:widowControl/>
              <w:jc w:val="center"/>
              <w:textAlignment w:val="center"/>
              <w:rPr>
                <w:rFonts w:hint="eastAsia"/>
                <w:color w:val="auto"/>
                <w:sz w:val="21"/>
                <w:szCs w:val="21"/>
                <w:lang w:eastAsia="zh-CN"/>
              </w:rPr>
            </w:pPr>
          </w:p>
        </w:tc>
        <w:tc>
          <w:tcPr>
            <w:tcW w:w="301"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lang w:val="en-US" w:eastAsia="zh-CN"/>
              </w:rPr>
            </w:pPr>
          </w:p>
        </w:tc>
        <w:tc>
          <w:tcPr>
            <w:tcW w:w="448"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eastAsia="宋体"/>
                <w:color w:val="auto"/>
                <w:sz w:val="24"/>
                <w:szCs w:val="24"/>
                <w:lang w:val="en-US" w:eastAsia="zh-CN"/>
              </w:rPr>
            </w:pPr>
          </w:p>
        </w:tc>
        <w:tc>
          <w:tcPr>
            <w:tcW w:w="693" w:type="pct"/>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color w:val="auto"/>
                <w:sz w:val="24"/>
                <w:szCs w:val="24"/>
                <w:lang w:val="en-US" w:eastAsia="zh-CN"/>
              </w:rPr>
            </w:pPr>
          </w:p>
        </w:tc>
        <w:tc>
          <w:tcPr>
            <w:tcW w:w="262"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2</w:t>
            </w:r>
          </w:p>
        </w:tc>
        <w:tc>
          <w:tcPr>
            <w:tcW w:w="484"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auto" w:sz="4" w:space="0"/>
              <w:left w:val="single" w:color="000000" w:sz="4" w:space="0"/>
              <w:bottom w:val="single" w:color="auto" w:sz="4" w:space="0"/>
              <w:right w:val="single" w:color="000000"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894"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10</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吡唑醚菌酯、代森联</w:t>
            </w:r>
          </w:p>
        </w:tc>
        <w:tc>
          <w:tcPr>
            <w:tcW w:w="30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color w:val="auto"/>
                <w:sz w:val="24"/>
                <w:szCs w:val="24"/>
                <w:lang w:val="en-US" w:eastAsia="zh-CN"/>
              </w:rPr>
            </w:pPr>
          </w:p>
        </w:tc>
        <w:tc>
          <w:tcPr>
            <w:tcW w:w="26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2</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739" w:hRule="atLeast"/>
        </w:trPr>
        <w:tc>
          <w:tcPr>
            <w:tcW w:w="293"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11</w:t>
            </w:r>
          </w:p>
        </w:tc>
        <w:tc>
          <w:tcPr>
            <w:tcW w:w="646"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val="zh-CN" w:eastAsia="zh-CN"/>
              </w:rPr>
              <w:t>草甘膦铵盐</w:t>
            </w:r>
          </w:p>
        </w:tc>
        <w:tc>
          <w:tcPr>
            <w:tcW w:w="301" w:type="pct"/>
            <w:tcBorders>
              <w:top w:val="single" w:color="auto" w:sz="4" w:space="0"/>
              <w:left w:val="single" w:color="000000" w:sz="4" w:space="0"/>
              <w:bottom w:val="single" w:color="000000" w:sz="4" w:space="0"/>
              <w:right w:val="single" w:color="000000" w:sz="4" w:space="0"/>
            </w:tcBorders>
            <w:noWrap w:val="0"/>
            <w:vAlign w:val="center"/>
          </w:tcPr>
          <w:p>
            <w:pPr>
              <w:widowControl/>
              <w:tabs>
                <w:tab w:val="left" w:pos="350"/>
              </w:tabs>
              <w:jc w:val="left"/>
              <w:textAlignment w:val="center"/>
              <w:rPr>
                <w:rFonts w:hint="eastAsia"/>
                <w:color w:val="auto"/>
                <w:sz w:val="24"/>
                <w:szCs w:val="24"/>
                <w:lang w:eastAsia="zh-CN"/>
              </w:rPr>
            </w:pPr>
            <w:r>
              <w:rPr>
                <w:rFonts w:hint="eastAsia"/>
                <w:color w:val="auto"/>
                <w:sz w:val="24"/>
                <w:szCs w:val="24"/>
                <w:lang w:eastAsia="zh-CN"/>
              </w:rPr>
              <w:tab/>
            </w:r>
          </w:p>
        </w:tc>
        <w:tc>
          <w:tcPr>
            <w:tcW w:w="577"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val="en-US" w:eastAsia="zh-CN"/>
              </w:rPr>
            </w:pPr>
          </w:p>
        </w:tc>
        <w:tc>
          <w:tcPr>
            <w:tcW w:w="262"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30</w:t>
            </w:r>
          </w:p>
        </w:tc>
        <w:tc>
          <w:tcPr>
            <w:tcW w:w="484"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auto" w:sz="4" w:space="0"/>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719"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12</w:t>
            </w:r>
          </w:p>
        </w:tc>
        <w:tc>
          <w:tcPr>
            <w:tcW w:w="64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精草铵膦铵盐</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pStyle w:val="2"/>
              <w:rPr>
                <w:rFonts w:hint="default"/>
                <w:color w:val="auto"/>
                <w:sz w:val="24"/>
                <w:szCs w:val="24"/>
                <w:lang w:val="en-US" w:eastAsia="zh-CN"/>
              </w:rPr>
            </w:pPr>
          </w:p>
        </w:tc>
        <w:tc>
          <w:tcPr>
            <w:tcW w:w="262"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30</w:t>
            </w:r>
          </w:p>
        </w:tc>
        <w:tc>
          <w:tcPr>
            <w:tcW w:w="48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nil"/>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644"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13</w:t>
            </w:r>
          </w:p>
        </w:tc>
        <w:tc>
          <w:tcPr>
            <w:tcW w:w="64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val="en-US" w:eastAsia="zh-CN"/>
              </w:rPr>
              <w:t>苯醚甲环唑</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val="en-US" w:eastAsia="zh-CN"/>
              </w:rPr>
            </w:pPr>
          </w:p>
        </w:tc>
        <w:tc>
          <w:tcPr>
            <w:tcW w:w="262"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5</w:t>
            </w:r>
          </w:p>
        </w:tc>
        <w:tc>
          <w:tcPr>
            <w:tcW w:w="48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nil"/>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584"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14</w:t>
            </w:r>
          </w:p>
        </w:tc>
        <w:tc>
          <w:tcPr>
            <w:tcW w:w="646"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val="en-US" w:eastAsia="zh-CN"/>
              </w:rPr>
              <w:t>苯醚</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戊</w:t>
            </w:r>
            <w:r>
              <w:rPr>
                <w:rFonts w:hint="eastAsia"/>
                <w:color w:val="auto"/>
                <w:sz w:val="21"/>
                <w:szCs w:val="21"/>
                <w:lang w:val="en-US" w:eastAsia="zh-CN"/>
              </w:rPr>
              <w:t>唑醇</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color w:val="auto"/>
                <w:sz w:val="24"/>
                <w:szCs w:val="24"/>
                <w:lang w:val="en-US" w:eastAsia="zh-CN"/>
              </w:rPr>
            </w:pPr>
          </w:p>
        </w:tc>
        <w:tc>
          <w:tcPr>
            <w:tcW w:w="262"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件</w:t>
            </w:r>
          </w:p>
        </w:tc>
        <w:tc>
          <w:tcPr>
            <w:tcW w:w="285"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5</w:t>
            </w:r>
          </w:p>
        </w:tc>
        <w:tc>
          <w:tcPr>
            <w:tcW w:w="484"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nil"/>
              <w:left w:val="single" w:color="000000" w:sz="4" w:space="0"/>
              <w:bottom w:val="single" w:color="000000" w:sz="4" w:space="0"/>
              <w:right w:val="single" w:color="000000"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1335"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15</w:t>
            </w:r>
          </w:p>
        </w:tc>
        <w:tc>
          <w:tcPr>
            <w:tcW w:w="646"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1"/>
                <w:szCs w:val="21"/>
                <w:lang w:eastAsia="zh-CN"/>
              </w:rPr>
            </w:pPr>
            <w:r>
              <w:rPr>
                <w:rFonts w:hint="eastAsia"/>
                <w:color w:val="auto"/>
                <w:sz w:val="21"/>
                <w:szCs w:val="21"/>
                <w:lang w:eastAsia="zh-CN"/>
              </w:rPr>
              <w:t>复合微生物肥料</w:t>
            </w:r>
          </w:p>
        </w:tc>
        <w:tc>
          <w:tcPr>
            <w:tcW w:w="301"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577"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448"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lang w:eastAsia="zh-CN"/>
              </w:rPr>
            </w:pPr>
          </w:p>
        </w:tc>
        <w:tc>
          <w:tcPr>
            <w:tcW w:w="693" w:type="pct"/>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color w:val="auto"/>
                <w:sz w:val="24"/>
                <w:szCs w:val="24"/>
                <w:lang w:val="en-US" w:eastAsia="zh-CN"/>
              </w:rPr>
            </w:pPr>
          </w:p>
        </w:tc>
        <w:tc>
          <w:tcPr>
            <w:tcW w:w="262"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lang w:val="en-US" w:eastAsia="zh-CN"/>
              </w:rPr>
              <w:t>吨</w:t>
            </w:r>
          </w:p>
        </w:tc>
        <w:tc>
          <w:tcPr>
            <w:tcW w:w="285"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r>
              <w:rPr>
                <w:rFonts w:hint="eastAsia"/>
                <w:color w:val="auto"/>
                <w:sz w:val="24"/>
                <w:szCs w:val="24"/>
                <w:lang w:val="en-US" w:eastAsia="zh-CN"/>
              </w:rPr>
              <w:t>20</w:t>
            </w:r>
          </w:p>
        </w:tc>
        <w:tc>
          <w:tcPr>
            <w:tcW w:w="484"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507" w:type="pct"/>
            <w:tcBorders>
              <w:top w:val="nil"/>
              <w:left w:val="single" w:color="000000" w:sz="4" w:space="0"/>
              <w:bottom w:val="single" w:color="auto" w:sz="4" w:space="0"/>
              <w:right w:val="single" w:color="000000"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nil"/>
              <w:left w:val="single" w:color="000000" w:sz="4" w:space="0"/>
              <w:bottom w:val="single" w:color="auto" w:sz="4" w:space="0"/>
              <w:right w:val="single" w:color="000000" w:sz="4" w:space="0"/>
            </w:tcBorders>
            <w:noWrap/>
            <w:vAlign w:val="center"/>
          </w:tcPr>
          <w:p>
            <w:pPr>
              <w:ind w:firstLine="240" w:firstLineChars="100"/>
              <w:jc w:val="both"/>
              <w:rPr>
                <w:rFonts w:hint="eastAsia"/>
                <w:color w:val="auto"/>
                <w:sz w:val="24"/>
                <w:szCs w:val="24"/>
                <w:lang w:val="en-US" w:eastAsia="zh-CN"/>
              </w:rPr>
            </w:pPr>
          </w:p>
        </w:tc>
      </w:tr>
      <w:tr>
        <w:tblPrEx>
          <w:tblCellMar>
            <w:top w:w="0" w:type="dxa"/>
            <w:left w:w="108" w:type="dxa"/>
            <w:bottom w:w="0" w:type="dxa"/>
            <w:right w:w="108" w:type="dxa"/>
          </w:tblCellMar>
        </w:tblPrEx>
        <w:trPr>
          <w:trHeight w:val="1064" w:hRule="atLeast"/>
        </w:trPr>
        <w:tc>
          <w:tcPr>
            <w:tcW w:w="293"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4"/>
                <w:szCs w:val="24"/>
                <w:lang w:val="en-US" w:eastAsia="zh-CN"/>
              </w:rPr>
            </w:pPr>
            <w:r>
              <w:rPr>
                <w:rFonts w:hint="eastAsia"/>
                <w:color w:val="auto"/>
                <w:sz w:val="24"/>
                <w:szCs w:val="24"/>
                <w:lang w:val="en-US" w:eastAsia="zh-CN"/>
              </w:rPr>
              <w:t>16</w:t>
            </w:r>
          </w:p>
        </w:tc>
        <w:tc>
          <w:tcPr>
            <w:tcW w:w="6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eastAsia="宋体"/>
                <w:color w:val="auto"/>
                <w:sz w:val="21"/>
                <w:szCs w:val="21"/>
                <w:lang w:eastAsia="zh-CN"/>
              </w:rPr>
            </w:pPr>
            <w:r>
              <w:rPr>
                <w:rFonts w:hint="eastAsia"/>
                <w:color w:val="auto"/>
                <w:sz w:val="21"/>
                <w:szCs w:val="21"/>
                <w:lang w:eastAsia="zh-CN"/>
              </w:rPr>
              <w:t>稳定性复合肥料</w:t>
            </w:r>
          </w:p>
        </w:tc>
        <w:tc>
          <w:tcPr>
            <w:tcW w:w="30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lang w:eastAsia="zh-CN"/>
              </w:rPr>
            </w:pP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lang w:eastAsia="zh-CN"/>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sz w:val="24"/>
                <w:szCs w:val="24"/>
                <w:lang w:eastAsia="zh-CN"/>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2"/>
              <w:rPr>
                <w:rFonts w:hint="default"/>
                <w:color w:val="auto"/>
                <w:sz w:val="24"/>
                <w:szCs w:val="24"/>
                <w:lang w:val="en-US" w:eastAsia="zh-CN"/>
              </w:rPr>
            </w:pPr>
          </w:p>
        </w:tc>
        <w:tc>
          <w:tcPr>
            <w:tcW w:w="262"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lang w:val="en-US" w:eastAsia="zh-CN"/>
              </w:rPr>
            </w:pPr>
            <w:r>
              <w:rPr>
                <w:rFonts w:hint="eastAsia"/>
                <w:color w:val="auto"/>
                <w:sz w:val="24"/>
                <w:szCs w:val="24"/>
                <w:lang w:val="en-US" w:eastAsia="zh-CN"/>
              </w:rPr>
              <w:t>吨</w:t>
            </w:r>
          </w:p>
        </w:tc>
        <w:tc>
          <w:tcPr>
            <w:tcW w:w="285"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lang w:val="en-US" w:eastAsia="zh-CN"/>
              </w:rPr>
            </w:pPr>
            <w:r>
              <w:rPr>
                <w:rFonts w:hint="eastAsia"/>
                <w:color w:val="auto"/>
                <w:sz w:val="24"/>
                <w:szCs w:val="24"/>
                <w:lang w:val="en-US" w:eastAsia="zh-CN"/>
              </w:rPr>
              <w:t>7</w:t>
            </w:r>
          </w:p>
        </w:tc>
        <w:tc>
          <w:tcPr>
            <w:tcW w:w="48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eastAsia="宋体"/>
                <w:color w:val="auto"/>
                <w:sz w:val="24"/>
                <w:szCs w:val="24"/>
                <w:lang w:val="en-US" w:eastAsia="zh-CN"/>
              </w:rPr>
            </w:pPr>
          </w:p>
        </w:tc>
        <w:tc>
          <w:tcPr>
            <w:tcW w:w="507"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color w:val="auto"/>
                <w:sz w:val="24"/>
                <w:szCs w:val="24"/>
                <w:lang w:val="en-US" w:eastAsia="zh-CN"/>
              </w:rPr>
            </w:pPr>
          </w:p>
        </w:tc>
        <w:tc>
          <w:tcPr>
            <w:tcW w:w="499" w:type="pct"/>
            <w:tcBorders>
              <w:top w:val="single" w:color="auto" w:sz="4" w:space="0"/>
              <w:left w:val="single" w:color="auto" w:sz="4" w:space="0"/>
              <w:bottom w:val="single" w:color="auto" w:sz="4" w:space="0"/>
              <w:right w:val="single" w:color="auto" w:sz="4" w:space="0"/>
            </w:tcBorders>
            <w:noWrap/>
            <w:vAlign w:val="center"/>
          </w:tcPr>
          <w:p>
            <w:pPr>
              <w:rPr>
                <w:color w:val="auto"/>
                <w:sz w:val="24"/>
                <w:szCs w:val="24"/>
              </w:rPr>
            </w:pPr>
          </w:p>
          <w:p>
            <w:pPr>
              <w:jc w:val="both"/>
              <w:rPr>
                <w:rFonts w:hint="eastAsia" w:eastAsia="宋体"/>
                <w:color w:val="auto"/>
                <w:sz w:val="24"/>
                <w:szCs w:val="24"/>
                <w:lang w:val="en-US" w:eastAsia="zh-CN"/>
              </w:rPr>
            </w:pPr>
          </w:p>
        </w:tc>
      </w:tr>
      <w:tr>
        <w:tblPrEx>
          <w:tblCellMar>
            <w:top w:w="0" w:type="dxa"/>
            <w:left w:w="108" w:type="dxa"/>
            <w:bottom w:w="0" w:type="dxa"/>
            <w:right w:w="108" w:type="dxa"/>
          </w:tblCellMar>
        </w:tblPrEx>
        <w:trPr>
          <w:trHeight w:val="982" w:hRule="atLeast"/>
        </w:trPr>
        <w:tc>
          <w:tcPr>
            <w:tcW w:w="293"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color w:val="auto"/>
                <w:sz w:val="24"/>
                <w:szCs w:val="24"/>
              </w:rPr>
            </w:pPr>
            <w:r>
              <w:rPr>
                <w:rFonts w:hint="eastAsia"/>
                <w:color w:val="auto"/>
                <w:sz w:val="24"/>
                <w:szCs w:val="24"/>
              </w:rPr>
              <w:t>合计</w:t>
            </w:r>
          </w:p>
        </w:tc>
        <w:tc>
          <w:tcPr>
            <w:tcW w:w="3699" w:type="pct"/>
            <w:gridSpan w:val="8"/>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lang w:val="en-US" w:eastAsia="zh-CN"/>
              </w:rPr>
            </w:pPr>
            <w:r>
              <w:rPr>
                <w:rFonts w:hint="eastAsia"/>
                <w:color w:val="auto"/>
                <w:sz w:val="24"/>
                <w:szCs w:val="24"/>
                <w:u w:val="single"/>
                <w:lang w:val="en-US" w:eastAsia="zh-CN"/>
              </w:rPr>
              <w:t xml:space="preserve">      </w:t>
            </w:r>
            <w:r>
              <w:rPr>
                <w:rFonts w:hint="eastAsia"/>
                <w:color w:val="auto"/>
                <w:sz w:val="24"/>
                <w:szCs w:val="24"/>
                <w:u w:val="none"/>
                <w:lang w:val="en-US" w:eastAsia="zh-CN"/>
              </w:rPr>
              <w:t>元，大写：</w:t>
            </w:r>
          </w:p>
        </w:tc>
        <w:tc>
          <w:tcPr>
            <w:tcW w:w="507"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color w:val="auto"/>
                <w:sz w:val="24"/>
                <w:szCs w:val="24"/>
                <w:u w:val="none"/>
                <w:lang w:val="en-US" w:eastAsia="zh-CN"/>
              </w:rPr>
            </w:pPr>
          </w:p>
        </w:tc>
        <w:tc>
          <w:tcPr>
            <w:tcW w:w="499" w:type="pct"/>
            <w:tcBorders>
              <w:top w:val="single" w:color="auto" w:sz="4" w:space="0"/>
              <w:left w:val="single" w:color="000000" w:sz="4" w:space="0"/>
              <w:bottom w:val="single" w:color="000000" w:sz="4" w:space="0"/>
              <w:right w:val="single" w:color="000000" w:sz="4" w:space="0"/>
            </w:tcBorders>
            <w:noWrap/>
            <w:vAlign w:val="center"/>
          </w:tcPr>
          <w:p>
            <w:pPr>
              <w:jc w:val="center"/>
              <w:rPr>
                <w:color w:val="auto"/>
                <w:sz w:val="24"/>
                <w:szCs w:val="24"/>
              </w:rPr>
            </w:pPr>
          </w:p>
        </w:tc>
      </w:tr>
    </w:tbl>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pStyle w:val="2"/>
        <w:spacing w:before="1" w:line="360" w:lineRule="auto"/>
        <w:rPr>
          <w:rFonts w:hint="default" w:eastAsia="宋体"/>
          <w:color w:val="auto"/>
          <w:sz w:val="24"/>
          <w:szCs w:val="24"/>
          <w:lang w:val="en-US" w:eastAsia="zh-CN"/>
        </w:rPr>
      </w:pPr>
      <w:r>
        <w:rPr>
          <w:color w:val="auto"/>
          <w:sz w:val="24"/>
          <w:szCs w:val="24"/>
        </w:rPr>
        <w:t>注:</w:t>
      </w:r>
      <w:r>
        <w:rPr>
          <w:rFonts w:hint="eastAsia"/>
          <w:color w:val="auto"/>
          <w:sz w:val="24"/>
          <w:szCs w:val="24"/>
          <w:lang w:val="en-US" w:eastAsia="zh-CN"/>
        </w:rPr>
        <w:t xml:space="preserve">  1. 此报价清单表为参考表，在填写时可自行调整。</w:t>
      </w:r>
    </w:p>
    <w:p>
      <w:pPr>
        <w:pStyle w:val="2"/>
        <w:spacing w:before="1" w:line="360" w:lineRule="auto"/>
        <w:ind w:firstLine="480" w:firstLineChars="200"/>
        <w:rPr>
          <w:b/>
          <w:color w:val="auto"/>
          <w:sz w:val="24"/>
          <w:szCs w:val="24"/>
        </w:rPr>
      </w:pPr>
      <w:r>
        <w:rPr>
          <w:rFonts w:hint="eastAsia"/>
          <w:color w:val="auto"/>
          <w:sz w:val="24"/>
          <w:szCs w:val="24"/>
          <w:lang w:val="en-US" w:eastAsia="zh-CN"/>
        </w:rPr>
        <w:t xml:space="preserve">2 </w:t>
      </w:r>
      <w:r>
        <w:rPr>
          <w:color w:val="auto"/>
          <w:sz w:val="24"/>
          <w:szCs w:val="24"/>
        </w:rPr>
        <w:t>.</w:t>
      </w:r>
      <w:r>
        <w:rPr>
          <w:rFonts w:hint="eastAsia"/>
          <w:color w:val="auto"/>
          <w:sz w:val="24"/>
          <w:szCs w:val="24"/>
          <w:lang w:val="en-US" w:eastAsia="zh-CN"/>
        </w:rPr>
        <w:t xml:space="preserve"> </w:t>
      </w:r>
      <w:r>
        <w:rPr>
          <w:color w:val="auto"/>
          <w:sz w:val="24"/>
          <w:szCs w:val="24"/>
        </w:rPr>
        <w:t>所</w:t>
      </w:r>
      <w:r>
        <w:rPr>
          <w:color w:val="auto"/>
          <w:spacing w:val="4"/>
          <w:sz w:val="24"/>
          <w:szCs w:val="24"/>
        </w:rPr>
        <w:t>有</w:t>
      </w:r>
      <w:r>
        <w:rPr>
          <w:color w:val="auto"/>
          <w:sz w:val="24"/>
          <w:szCs w:val="24"/>
        </w:rPr>
        <w:t>报价</w:t>
      </w:r>
      <w:r>
        <w:rPr>
          <w:color w:val="auto"/>
          <w:spacing w:val="4"/>
          <w:sz w:val="24"/>
          <w:szCs w:val="24"/>
        </w:rPr>
        <w:t>均</w:t>
      </w:r>
      <w:r>
        <w:rPr>
          <w:color w:val="auto"/>
          <w:sz w:val="24"/>
          <w:szCs w:val="24"/>
        </w:rPr>
        <w:t>用人</w:t>
      </w:r>
      <w:r>
        <w:rPr>
          <w:color w:val="auto"/>
          <w:spacing w:val="4"/>
          <w:sz w:val="24"/>
          <w:szCs w:val="24"/>
        </w:rPr>
        <w:t>民</w:t>
      </w:r>
      <w:r>
        <w:rPr>
          <w:color w:val="auto"/>
          <w:sz w:val="24"/>
          <w:szCs w:val="24"/>
        </w:rPr>
        <w:t>币</w:t>
      </w:r>
      <w:r>
        <w:rPr>
          <w:color w:val="auto"/>
          <w:spacing w:val="4"/>
          <w:sz w:val="24"/>
          <w:szCs w:val="24"/>
        </w:rPr>
        <w:t>表</w:t>
      </w:r>
      <w:r>
        <w:rPr>
          <w:color w:val="auto"/>
          <w:sz w:val="24"/>
          <w:szCs w:val="24"/>
        </w:rPr>
        <w:t>示</w:t>
      </w:r>
      <w:r>
        <w:rPr>
          <w:color w:val="auto"/>
          <w:spacing w:val="-20"/>
          <w:sz w:val="24"/>
          <w:szCs w:val="24"/>
        </w:rPr>
        <w:t>，</w:t>
      </w:r>
      <w:r>
        <w:rPr>
          <w:color w:val="auto"/>
          <w:sz w:val="24"/>
          <w:szCs w:val="24"/>
        </w:rPr>
        <w:t>所</w:t>
      </w:r>
      <w:r>
        <w:rPr>
          <w:color w:val="auto"/>
          <w:spacing w:val="4"/>
          <w:sz w:val="24"/>
          <w:szCs w:val="24"/>
        </w:rPr>
        <w:t>报</w:t>
      </w:r>
      <w:r>
        <w:rPr>
          <w:color w:val="auto"/>
          <w:sz w:val="24"/>
          <w:szCs w:val="24"/>
        </w:rPr>
        <w:t>单价</w:t>
      </w:r>
      <w:r>
        <w:rPr>
          <w:color w:val="auto"/>
          <w:spacing w:val="4"/>
          <w:sz w:val="24"/>
          <w:szCs w:val="24"/>
        </w:rPr>
        <w:t>是</w:t>
      </w:r>
      <w:r>
        <w:rPr>
          <w:color w:val="auto"/>
          <w:sz w:val="24"/>
          <w:szCs w:val="24"/>
        </w:rPr>
        <w:t>包干</w:t>
      </w:r>
      <w:r>
        <w:rPr>
          <w:color w:val="auto"/>
          <w:spacing w:val="4"/>
          <w:sz w:val="24"/>
          <w:szCs w:val="24"/>
        </w:rPr>
        <w:t>价</w:t>
      </w:r>
      <w:r>
        <w:rPr>
          <w:color w:val="auto"/>
          <w:sz w:val="24"/>
          <w:szCs w:val="24"/>
        </w:rPr>
        <w:t>即</w:t>
      </w:r>
      <w:r>
        <w:rPr>
          <w:color w:val="auto"/>
          <w:spacing w:val="4"/>
          <w:sz w:val="24"/>
          <w:szCs w:val="24"/>
        </w:rPr>
        <w:t>包</w:t>
      </w:r>
      <w:r>
        <w:rPr>
          <w:color w:val="auto"/>
          <w:sz w:val="24"/>
          <w:szCs w:val="24"/>
        </w:rPr>
        <w:t>括但</w:t>
      </w:r>
      <w:r>
        <w:rPr>
          <w:color w:val="auto"/>
          <w:spacing w:val="4"/>
          <w:sz w:val="24"/>
          <w:szCs w:val="24"/>
        </w:rPr>
        <w:t>不</w:t>
      </w:r>
      <w:r>
        <w:rPr>
          <w:color w:val="auto"/>
          <w:sz w:val="24"/>
          <w:szCs w:val="24"/>
        </w:rPr>
        <w:t>限于</w:t>
      </w:r>
      <w:r>
        <w:rPr>
          <w:color w:val="auto"/>
          <w:spacing w:val="4"/>
          <w:sz w:val="24"/>
          <w:szCs w:val="24"/>
        </w:rPr>
        <w:t>材</w:t>
      </w:r>
      <w:r>
        <w:rPr>
          <w:color w:val="auto"/>
          <w:sz w:val="24"/>
          <w:szCs w:val="24"/>
        </w:rPr>
        <w:t>料费</w:t>
      </w:r>
      <w:r>
        <w:rPr>
          <w:color w:val="auto"/>
          <w:spacing w:val="-20"/>
          <w:sz w:val="24"/>
          <w:szCs w:val="24"/>
        </w:rPr>
        <w:t>、</w:t>
      </w:r>
      <w:r>
        <w:rPr>
          <w:color w:val="auto"/>
          <w:sz w:val="24"/>
          <w:szCs w:val="24"/>
        </w:rPr>
        <w:t>人</w:t>
      </w:r>
      <w:r>
        <w:rPr>
          <w:color w:val="auto"/>
          <w:spacing w:val="4"/>
          <w:sz w:val="24"/>
          <w:szCs w:val="24"/>
        </w:rPr>
        <w:t>工</w:t>
      </w:r>
      <w:r>
        <w:rPr>
          <w:color w:val="auto"/>
          <w:sz w:val="24"/>
          <w:szCs w:val="24"/>
        </w:rPr>
        <w:t>费、运</w:t>
      </w:r>
      <w:r>
        <w:rPr>
          <w:color w:val="auto"/>
          <w:spacing w:val="4"/>
          <w:sz w:val="24"/>
          <w:szCs w:val="24"/>
        </w:rPr>
        <w:t>输</w:t>
      </w:r>
      <w:r>
        <w:rPr>
          <w:color w:val="auto"/>
          <w:sz w:val="24"/>
          <w:szCs w:val="24"/>
        </w:rPr>
        <w:t>费、搬</w:t>
      </w:r>
      <w:r>
        <w:rPr>
          <w:color w:val="auto"/>
          <w:spacing w:val="4"/>
          <w:sz w:val="24"/>
          <w:szCs w:val="24"/>
        </w:rPr>
        <w:t>运</w:t>
      </w:r>
      <w:r>
        <w:rPr>
          <w:color w:val="auto"/>
          <w:sz w:val="24"/>
          <w:szCs w:val="24"/>
        </w:rPr>
        <w:t>费、下</w:t>
      </w:r>
      <w:r>
        <w:rPr>
          <w:color w:val="auto"/>
          <w:spacing w:val="4"/>
          <w:sz w:val="24"/>
          <w:szCs w:val="24"/>
        </w:rPr>
        <w:t>车</w:t>
      </w:r>
      <w:r>
        <w:rPr>
          <w:color w:val="auto"/>
          <w:sz w:val="24"/>
          <w:szCs w:val="24"/>
        </w:rPr>
        <w:t>费</w:t>
      </w:r>
      <w:r>
        <w:rPr>
          <w:color w:val="auto"/>
          <w:spacing w:val="-3"/>
          <w:sz w:val="24"/>
          <w:szCs w:val="24"/>
        </w:rPr>
        <w:t>、</w:t>
      </w:r>
      <w:r>
        <w:rPr>
          <w:color w:val="auto"/>
          <w:sz w:val="24"/>
          <w:szCs w:val="24"/>
        </w:rPr>
        <w:t>管</w:t>
      </w:r>
      <w:r>
        <w:rPr>
          <w:color w:val="auto"/>
          <w:spacing w:val="4"/>
          <w:sz w:val="24"/>
          <w:szCs w:val="24"/>
        </w:rPr>
        <w:t>理</w:t>
      </w:r>
      <w:r>
        <w:rPr>
          <w:color w:val="auto"/>
          <w:sz w:val="24"/>
          <w:szCs w:val="24"/>
        </w:rPr>
        <w:t>费、利润、税</w:t>
      </w:r>
      <w:r>
        <w:rPr>
          <w:color w:val="auto"/>
          <w:spacing w:val="-3"/>
          <w:sz w:val="24"/>
          <w:szCs w:val="24"/>
        </w:rPr>
        <w:t>金</w:t>
      </w:r>
      <w:r>
        <w:rPr>
          <w:b/>
          <w:color w:val="auto"/>
          <w:spacing w:val="6"/>
          <w:sz w:val="24"/>
          <w:szCs w:val="24"/>
          <w:u w:val="single"/>
        </w:rPr>
        <w:t>（</w:t>
      </w:r>
      <w:r>
        <w:rPr>
          <w:rFonts w:hint="eastAsia"/>
          <w:b/>
          <w:color w:val="auto"/>
          <w:spacing w:val="6"/>
          <w:sz w:val="24"/>
          <w:szCs w:val="24"/>
          <w:highlight w:val="none"/>
          <w:u w:val="single"/>
          <w:lang w:val="en-US" w:eastAsia="zh-CN"/>
        </w:rPr>
        <w:t>3</w:t>
      </w:r>
      <w:r>
        <w:rPr>
          <w:rFonts w:ascii="Times New Roman" w:eastAsia="Times New Roman"/>
          <w:b/>
          <w:color w:val="auto"/>
          <w:sz w:val="24"/>
          <w:szCs w:val="24"/>
          <w:highlight w:val="none"/>
          <w:u w:val="single"/>
        </w:rPr>
        <w:t>%</w:t>
      </w:r>
      <w:r>
        <w:rPr>
          <w:b/>
          <w:color w:val="auto"/>
          <w:sz w:val="24"/>
          <w:szCs w:val="24"/>
          <w:u w:val="single"/>
        </w:rPr>
        <w:t>）</w:t>
      </w:r>
      <w:r>
        <w:rPr>
          <w:color w:val="auto"/>
          <w:sz w:val="24"/>
          <w:szCs w:val="24"/>
        </w:rPr>
        <w:t>等</w:t>
      </w:r>
      <w:r>
        <w:rPr>
          <w:color w:val="auto"/>
          <w:spacing w:val="4"/>
          <w:sz w:val="24"/>
          <w:szCs w:val="24"/>
        </w:rPr>
        <w:t>完</w:t>
      </w:r>
      <w:r>
        <w:rPr>
          <w:color w:val="auto"/>
          <w:sz w:val="24"/>
          <w:szCs w:val="24"/>
        </w:rPr>
        <w:t>成本</w:t>
      </w:r>
      <w:r>
        <w:rPr>
          <w:color w:val="auto"/>
          <w:spacing w:val="4"/>
          <w:sz w:val="24"/>
          <w:szCs w:val="24"/>
        </w:rPr>
        <w:t>项</w:t>
      </w:r>
      <w:r>
        <w:rPr>
          <w:color w:val="auto"/>
          <w:sz w:val="24"/>
          <w:szCs w:val="24"/>
        </w:rPr>
        <w:t>目所</w:t>
      </w:r>
      <w:r>
        <w:rPr>
          <w:color w:val="auto"/>
          <w:spacing w:val="4"/>
          <w:sz w:val="24"/>
          <w:szCs w:val="24"/>
        </w:rPr>
        <w:t>需</w:t>
      </w:r>
      <w:r>
        <w:rPr>
          <w:color w:val="auto"/>
          <w:sz w:val="24"/>
          <w:szCs w:val="24"/>
        </w:rPr>
        <w:t>的一</w:t>
      </w:r>
      <w:r>
        <w:rPr>
          <w:color w:val="auto"/>
          <w:spacing w:val="4"/>
          <w:sz w:val="24"/>
          <w:szCs w:val="24"/>
        </w:rPr>
        <w:t>切</w:t>
      </w:r>
      <w:r>
        <w:rPr>
          <w:color w:val="auto"/>
          <w:sz w:val="24"/>
          <w:szCs w:val="24"/>
        </w:rPr>
        <w:t>费用。</w:t>
      </w:r>
    </w:p>
    <w:p>
      <w:pPr>
        <w:pStyle w:val="20"/>
        <w:numPr>
          <w:ilvl w:val="0"/>
          <w:numId w:val="4"/>
        </w:numPr>
        <w:tabs>
          <w:tab w:val="left" w:pos="979"/>
          <w:tab w:val="clear" w:pos="312"/>
        </w:tabs>
        <w:spacing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lang w:val="en-US" w:eastAsia="zh-CN" w:bidi="ar-SA"/>
        </w:rPr>
        <w:t>报价表内的单价不能超过第三章中的最高单价，</w:t>
      </w:r>
      <w:r>
        <w:rPr>
          <w:rFonts w:hint="eastAsia" w:ascii="Times New Roman" w:hAnsi="Times New Roman" w:eastAsia="宋体" w:cs="Times New Roman"/>
          <w:color w:val="auto"/>
          <w:kern w:val="2"/>
          <w:sz w:val="24"/>
          <w:szCs w:val="24"/>
          <w:lang w:val="en-US" w:eastAsia="zh-CN" w:bidi="ar-SA"/>
        </w:rPr>
        <w:t>否则报价无效。</w:t>
      </w:r>
      <w:r>
        <w:rPr>
          <w:rFonts w:ascii="Times New Roman" w:hAnsi="Times New Roman" w:eastAsia="宋体" w:cs="Times New Roman"/>
          <w:color w:val="auto"/>
          <w:kern w:val="2"/>
          <w:sz w:val="24"/>
          <w:szCs w:val="24"/>
          <w:lang w:val="en-US" w:eastAsia="zh-CN" w:bidi="ar-SA"/>
        </w:rPr>
        <w:t>采购数量按实际交付数量结算。</w:t>
      </w:r>
      <w:r>
        <w:rPr>
          <w:rFonts w:hint="eastAsia" w:ascii="Times New Roman" w:hAnsi="Times New Roman" w:eastAsia="宋体" w:cs="Times New Roman"/>
          <w:color w:val="auto"/>
          <w:kern w:val="2"/>
          <w:sz w:val="24"/>
          <w:szCs w:val="24"/>
          <w:highlight w:val="none"/>
          <w:lang w:val="en-US" w:eastAsia="zh-CN" w:bidi="ar-SA"/>
        </w:rPr>
        <w:t>报价中的含量不得低于第三章 项目技术、服务及商务要求。</w:t>
      </w:r>
    </w:p>
    <w:p>
      <w:pPr>
        <w:pStyle w:val="2"/>
        <w:numPr>
          <w:ilvl w:val="0"/>
          <w:numId w:val="0"/>
        </w:numPr>
        <w:spacing w:before="1" w:line="360" w:lineRule="auto"/>
        <w:ind w:firstLine="480" w:firstLineChars="200"/>
        <w:rPr>
          <w:rFonts w:hint="eastAsia" w:ascii="宋体" w:hAnsi="宋体" w:eastAsia="宋体" w:cs="宋体"/>
          <w:b w:val="0"/>
          <w:bCs w:val="0"/>
          <w:i w:val="0"/>
          <w:iCs w:val="0"/>
          <w:color w:val="auto"/>
          <w:kern w:val="2"/>
          <w:sz w:val="24"/>
          <w:szCs w:val="24"/>
          <w:highlight w:val="none"/>
          <w:lang w:val="en-US" w:eastAsia="zh-CN" w:bidi="ar-SA"/>
        </w:rPr>
      </w:pPr>
      <w:r>
        <w:rPr>
          <w:rFonts w:hint="eastAsia"/>
          <w:color w:val="auto"/>
          <w:sz w:val="24"/>
          <w:szCs w:val="24"/>
          <w:highlight w:val="none"/>
          <w:lang w:val="en-US" w:eastAsia="zh-CN"/>
        </w:rPr>
        <w:t>4</w:t>
      </w:r>
      <w:r>
        <w:rPr>
          <w:rFonts w:hint="eastAsia"/>
          <w:b w:val="0"/>
          <w:bCs w:val="0"/>
          <w:color w:val="auto"/>
          <w:sz w:val="24"/>
          <w:szCs w:val="24"/>
          <w:highlight w:val="none"/>
          <w:lang w:val="en-US" w:eastAsia="zh-CN"/>
        </w:rPr>
        <w:t>.</w:t>
      </w:r>
      <w:r>
        <w:rPr>
          <w:rFonts w:hint="eastAsia" w:ascii="宋体" w:hAnsi="宋体" w:eastAsia="宋体" w:cs="宋体"/>
          <w:b w:val="0"/>
          <w:bCs w:val="0"/>
          <w:i w:val="0"/>
          <w:iCs w:val="0"/>
          <w:color w:val="auto"/>
          <w:kern w:val="2"/>
          <w:sz w:val="24"/>
          <w:szCs w:val="24"/>
          <w:highlight w:val="none"/>
          <w:lang w:val="en-US" w:eastAsia="zh-CN" w:bidi="ar-SA"/>
        </w:rPr>
        <w:t>限价为含税价，增值税专用发票3%。</w:t>
      </w:r>
      <w:r>
        <w:rPr>
          <w:rFonts w:hint="eastAsia" w:ascii="宋体" w:hAnsi="宋体" w:cs="宋体"/>
          <w:b w:val="0"/>
          <w:bCs w:val="0"/>
          <w:i w:val="0"/>
          <w:iCs w:val="0"/>
          <w:color w:val="auto"/>
          <w:kern w:val="2"/>
          <w:sz w:val="24"/>
          <w:szCs w:val="24"/>
          <w:highlight w:val="none"/>
          <w:lang w:val="en-US" w:eastAsia="zh-CN" w:bidi="ar-SA"/>
        </w:rPr>
        <w:t xml:space="preserve"> </w:t>
      </w:r>
      <w:r>
        <w:rPr>
          <w:rFonts w:hint="eastAsia" w:ascii="宋体" w:hAnsi="宋体" w:eastAsia="宋体" w:cs="宋体"/>
          <w:b w:val="0"/>
          <w:bCs w:val="0"/>
          <w:i w:val="0"/>
          <w:iCs w:val="0"/>
          <w:color w:val="auto"/>
          <w:kern w:val="2"/>
          <w:sz w:val="24"/>
          <w:szCs w:val="24"/>
          <w:highlight w:val="none"/>
          <w:lang w:val="en-US" w:eastAsia="zh-CN" w:bidi="ar-SA"/>
        </w:rPr>
        <w:t>结算时无法出具等额增值税专用发票，则按实结算。</w:t>
      </w:r>
    </w:p>
    <w:p>
      <w:pPr>
        <w:pStyle w:val="2"/>
        <w:numPr>
          <w:ilvl w:val="0"/>
          <w:numId w:val="0"/>
        </w:numPr>
        <w:spacing w:before="1" w:line="360" w:lineRule="auto"/>
        <w:ind w:firstLine="482" w:firstLineChars="200"/>
        <w:rPr>
          <w:color w:val="auto"/>
          <w:sz w:val="24"/>
          <w:highlight w:val="none"/>
        </w:rPr>
      </w:pPr>
      <w:r>
        <w:rPr>
          <w:rFonts w:hint="eastAsia" w:ascii="宋体" w:hAnsi="宋体" w:eastAsia="宋体" w:cs="宋体"/>
          <w:b/>
          <w:bCs/>
          <w:i w:val="0"/>
          <w:iCs w:val="0"/>
          <w:color w:val="auto"/>
          <w:kern w:val="2"/>
          <w:sz w:val="24"/>
          <w:szCs w:val="24"/>
          <w:highlight w:val="none"/>
          <w:lang w:val="en-US" w:eastAsia="zh-CN" w:bidi="ar-SA"/>
        </w:rPr>
        <w:t>5.</w:t>
      </w:r>
      <w:r>
        <w:rPr>
          <w:color w:val="auto"/>
          <w:sz w:val="24"/>
          <w:szCs w:val="24"/>
        </w:rPr>
        <w:t>报价保留 2 位小数</w:t>
      </w:r>
      <w:r>
        <w:rPr>
          <w:rFonts w:hint="eastAsia"/>
          <w:color w:val="auto"/>
          <w:sz w:val="24"/>
          <w:szCs w:val="24"/>
          <w:lang w:eastAsia="zh-CN"/>
        </w:rPr>
        <w:t>（</w:t>
      </w:r>
      <w:r>
        <w:rPr>
          <w:rFonts w:hint="eastAsia"/>
          <w:color w:val="auto"/>
          <w:sz w:val="24"/>
          <w:szCs w:val="24"/>
          <w:lang w:val="en-US" w:eastAsia="zh-CN"/>
        </w:rPr>
        <w:t>不作废标处理</w:t>
      </w:r>
      <w:r>
        <w:rPr>
          <w:rFonts w:hint="eastAsia"/>
          <w:color w:val="auto"/>
          <w:sz w:val="24"/>
          <w:szCs w:val="24"/>
          <w:lang w:eastAsia="zh-CN"/>
        </w:rPr>
        <w:t>）</w:t>
      </w:r>
      <w:r>
        <w:rPr>
          <w:color w:val="auto"/>
          <w:sz w:val="24"/>
          <w:szCs w:val="24"/>
        </w:rPr>
        <w:t>。</w:t>
      </w:r>
    </w:p>
    <w:p>
      <w:pPr>
        <w:spacing w:line="360" w:lineRule="auto"/>
        <w:ind w:firstLine="480" w:firstLineChars="200"/>
        <w:jc w:val="left"/>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91771168"/>
      <w:bookmarkStart w:id="53"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color w:val="auto"/>
          <w:sz w:val="24"/>
          <w:highlight w:val="none"/>
        </w:rPr>
        <w:t>（七）根据采购</w:t>
      </w:r>
      <w:r>
        <w:rPr>
          <w:rFonts w:hint="eastAsia" w:ascii="Times New Roman" w:hAnsi="Times New Roman" w:eastAsia="宋体" w:cs="Times New Roman"/>
          <w:color w:val="auto"/>
          <w:sz w:val="24"/>
          <w:highlight w:val="none"/>
        </w:rPr>
        <w:t xml:space="preserve">项目提出的特殊条件：  </w:t>
      </w:r>
    </w:p>
    <w:p>
      <w:pPr>
        <w:spacing w:line="312"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1.供应商需提供有效期内的《农药经营许可证》；</w:t>
      </w:r>
    </w:p>
    <w:p>
      <w:pPr>
        <w:spacing w:line="312"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2.生物农药需要提供生产厂家农药登记证复印件或中华人民共和国农业农村部 http://zdscxx.moa.gov.cn:8080/nyb/pc/link.jsp?id=1 备案截图；</w:t>
      </w:r>
    </w:p>
    <w:p>
      <w:pPr>
        <w:spacing w:line="312"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3.有机肥需要提供生产厂家肥料登记证复印件或中华人民共和国农业农村部 </w:t>
      </w:r>
      <w:r>
        <w:rPr>
          <w:rFonts w:hint="eastAsia" w:ascii="Times New Roman" w:hAnsi="Times New Roman" w:eastAsia="宋体" w:cs="Times New Roman"/>
          <w:color w:val="auto"/>
          <w:sz w:val="24"/>
          <w:highlight w:val="none"/>
          <w:lang w:val="en-US" w:eastAsia="zh-CN"/>
        </w:rPr>
        <w:fldChar w:fldCharType="begin"/>
      </w:r>
      <w:r>
        <w:rPr>
          <w:rFonts w:hint="eastAsia" w:ascii="Times New Roman" w:hAnsi="Times New Roman" w:eastAsia="宋体" w:cs="Times New Roman"/>
          <w:color w:val="auto"/>
          <w:sz w:val="24"/>
          <w:highlight w:val="none"/>
          <w:lang w:val="en-US" w:eastAsia="zh-CN"/>
        </w:rPr>
        <w:instrText xml:space="preserve"> HYPERLINK "http://202.127.42.127/moafer/list.js" \h </w:instrText>
      </w:r>
      <w:r>
        <w:rPr>
          <w:rFonts w:hint="eastAsia" w:ascii="Times New Roman" w:hAnsi="Times New Roman" w:eastAsia="宋体" w:cs="Times New Roman"/>
          <w:color w:val="auto"/>
          <w:sz w:val="24"/>
          <w:highlight w:val="none"/>
          <w:lang w:val="en-US" w:eastAsia="zh-CN"/>
        </w:rPr>
        <w:fldChar w:fldCharType="separate"/>
      </w:r>
      <w:r>
        <w:rPr>
          <w:rFonts w:hint="eastAsia" w:ascii="Times New Roman" w:hAnsi="Times New Roman" w:eastAsia="宋体" w:cs="Times New Roman"/>
          <w:color w:val="auto"/>
          <w:sz w:val="24"/>
          <w:highlight w:val="none"/>
          <w:lang w:val="en-US" w:eastAsia="zh-CN"/>
        </w:rPr>
        <w:t>http://202.127.42.127/moafer/list.js</w:t>
      </w:r>
      <w:r>
        <w:rPr>
          <w:rFonts w:hint="eastAsia" w:ascii="Times New Roman" w:hAnsi="Times New Roman" w:eastAsia="宋体" w:cs="Times New Roman"/>
          <w:color w:val="auto"/>
          <w:sz w:val="24"/>
          <w:highlight w:val="none"/>
          <w:lang w:val="en-US" w:eastAsia="zh-CN"/>
        </w:rPr>
        <w:fldChar w:fldCharType="end"/>
      </w:r>
      <w:r>
        <w:rPr>
          <w:rFonts w:hint="eastAsia" w:ascii="Times New Roman" w:hAnsi="Times New Roman" w:eastAsia="宋体" w:cs="Times New Roman"/>
          <w:color w:val="auto"/>
          <w:sz w:val="24"/>
          <w:highlight w:val="none"/>
          <w:lang w:val="en-US" w:eastAsia="zh-CN"/>
        </w:rPr>
        <w:t>备案截图。</w:t>
      </w:r>
      <w:r>
        <w:rPr>
          <w:rFonts w:hint="eastAsia" w:ascii="Times New Roman" w:hAnsi="Times New Roman" w:eastAsia="宋体" w:cs="Times New Roman"/>
          <w:color w:val="auto"/>
          <w:sz w:val="24"/>
          <w:highlight w:val="none"/>
        </w:rPr>
        <w:t xml:space="preserve">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pStyle w:val="2"/>
        <w:ind w:firstLine="480"/>
        <w:rPr>
          <w:rFonts w:hint="eastAsia"/>
          <w:color w:val="auto"/>
          <w:sz w:val="24"/>
          <w:highlight w:val="none"/>
          <w:lang w:val="en-US" w:eastAsia="zh-CN"/>
        </w:rPr>
      </w:pPr>
      <w:r>
        <w:rPr>
          <w:rFonts w:hint="eastAsia"/>
          <w:color w:val="auto"/>
          <w:sz w:val="24"/>
          <w:highlight w:val="none"/>
          <w:lang w:val="en-US" w:eastAsia="zh-CN"/>
        </w:rPr>
        <w:t>八、本项目提供的有机肥符合以下标准：</w:t>
      </w:r>
    </w:p>
    <w:p>
      <w:pPr>
        <w:pStyle w:val="2"/>
        <w:ind w:firstLine="480"/>
        <w:rPr>
          <w:rFonts w:hint="eastAsia"/>
          <w:color w:val="auto"/>
          <w:sz w:val="24"/>
          <w:highlight w:val="none"/>
          <w:lang w:val="en-US" w:eastAsia="zh-CN"/>
        </w:rPr>
      </w:pPr>
      <w:r>
        <w:rPr>
          <w:rFonts w:hint="eastAsia"/>
          <w:color w:val="auto"/>
          <w:sz w:val="24"/>
          <w:highlight w:val="none"/>
          <w:lang w:val="en-US" w:eastAsia="zh-CN"/>
        </w:rPr>
        <w:t>1.生物有机肥执行标准:NY884-2012及无害化指标，粪大肠菌群数≤100个/g蛔虫卵死亡率&gt;95%。</w:t>
      </w:r>
    </w:p>
    <w:p>
      <w:pPr>
        <w:pStyle w:val="2"/>
        <w:ind w:firstLine="480"/>
        <w:rPr>
          <w:rFonts w:hint="eastAsia"/>
          <w:color w:val="auto"/>
          <w:sz w:val="24"/>
          <w:highlight w:val="none"/>
          <w:lang w:val="en-US" w:eastAsia="zh-CN"/>
        </w:rPr>
      </w:pPr>
      <w:r>
        <w:rPr>
          <w:rFonts w:hint="eastAsia"/>
          <w:color w:val="auto"/>
          <w:sz w:val="24"/>
          <w:highlight w:val="none"/>
          <w:lang w:val="en-US" w:eastAsia="zh-CN"/>
        </w:rPr>
        <w:t>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pPr>
        <w:pStyle w:val="2"/>
        <w:ind w:firstLine="480"/>
        <w:rPr>
          <w:rFonts w:hint="default" w:eastAsia="宋体"/>
          <w:color w:val="auto"/>
          <w:highlight w:val="none"/>
          <w:lang w:val="en-US" w:eastAsia="zh-CN"/>
        </w:rPr>
      </w:pPr>
      <w:r>
        <w:rPr>
          <w:rFonts w:hint="eastAsia"/>
          <w:color w:val="auto"/>
          <w:sz w:val="24"/>
          <w:highlight w:val="none"/>
          <w:lang w:val="en-US" w:eastAsia="zh-CN"/>
        </w:rPr>
        <w:t>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pStyle w:val="2"/>
        <w:rPr>
          <w:rFonts w:hint="eastAsia"/>
          <w:color w:val="auto"/>
          <w:sz w:val="24"/>
          <w:highlight w:val="none"/>
        </w:rPr>
      </w:pPr>
    </w:p>
    <w:p>
      <w:pPr>
        <w:pStyle w:val="2"/>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9917"/>
      <w:bookmarkStart w:id="55" w:name="_Toc30219"/>
      <w:bookmarkStart w:id="56" w:name="_Toc91771169"/>
      <w:bookmarkStart w:id="57" w:name="_Toc2900"/>
      <w:bookmarkStart w:id="58" w:name="_Toc2589"/>
      <w:bookmarkStart w:id="59" w:name="_Toc16489"/>
      <w:bookmarkStart w:id="60"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1333"/>
      <w:bookmarkStart w:id="62" w:name="_Toc91771170"/>
      <w:r>
        <w:rPr>
          <w:rFonts w:hint="eastAsia" w:ascii="黑体" w:hAnsi="黑体" w:eastAsia="黑体" w:cs="Arial"/>
          <w:bCs/>
          <w:color w:val="auto"/>
          <w:sz w:val="32"/>
          <w:szCs w:val="32"/>
          <w:highlight w:val="none"/>
        </w:rPr>
        <w:t>七、供应商基本情况表</w:t>
      </w:r>
      <w:bookmarkEnd w:id="61"/>
      <w:bookmarkEnd w:id="62"/>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宋体" w:hAnsi="宋体"/>
          <w:b/>
          <w:bCs/>
          <w:color w:val="auto"/>
          <w:sz w:val="32"/>
          <w:szCs w:val="32"/>
          <w:highlight w:val="none"/>
        </w:rPr>
      </w:pPr>
      <w:bookmarkStart w:id="63" w:name="_Toc29504"/>
      <w:bookmarkStart w:id="64" w:name="_Toc91771172"/>
      <w:r>
        <w:rPr>
          <w:rFonts w:hint="eastAsia" w:ascii="黑体" w:hAnsi="黑体" w:eastAsia="黑体" w:cs="Arial"/>
          <w:bCs/>
          <w:color w:val="auto"/>
          <w:sz w:val="32"/>
          <w:szCs w:val="32"/>
          <w:highlight w:val="none"/>
          <w:lang w:eastAsia="zh-CN"/>
        </w:rPr>
        <w:t>八</w:t>
      </w:r>
      <w:r>
        <w:rPr>
          <w:rFonts w:hint="eastAsia" w:ascii="黑体" w:hAnsi="黑体" w:eastAsia="黑体" w:cs="Arial"/>
          <w:bCs/>
          <w:color w:val="auto"/>
          <w:sz w:val="32"/>
          <w:szCs w:val="32"/>
          <w:highlight w:val="none"/>
        </w:rPr>
        <w:t>、商务、技术、服务要求应答表</w:t>
      </w:r>
      <w:bookmarkEnd w:id="63"/>
      <w:bookmarkEnd w:id="64"/>
    </w:p>
    <w:tbl>
      <w:tblPr>
        <w:tblStyle w:val="1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numPr>
                <w:ilvl w:val="0"/>
                <w:numId w:val="0"/>
              </w:numPr>
              <w:ind w:left="0" w:leftChars="0" w:firstLine="0" w:firstLineChars="0"/>
              <w:jc w:val="both"/>
              <w:outlineLvl w:val="1"/>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服务要求</w:t>
            </w:r>
          </w:p>
          <w:p>
            <w:pPr>
              <w:pStyle w:val="2"/>
              <w:numPr>
                <w:ilvl w:val="0"/>
                <w:numId w:val="5"/>
              </w:numPr>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为确保采购的产品质量符</w:t>
            </w:r>
          </w:p>
          <w:p>
            <w:pPr>
              <w:pStyle w:val="2"/>
              <w:numPr>
                <w:ilvl w:val="0"/>
                <w:numId w:val="0"/>
              </w:numPr>
              <w:spacing w:before="66" w:line="400" w:lineRule="exact"/>
              <w:ind w:right="890" w:rightChars="0"/>
              <w:rPr>
                <w:rFonts w:hint="eastAsia"/>
                <w:color w:val="auto"/>
                <w:sz w:val="24"/>
                <w:szCs w:val="24"/>
                <w:highlight w:val="none"/>
                <w:lang w:eastAsia="zh-CN"/>
              </w:rPr>
            </w:pPr>
            <w:r>
              <w:rPr>
                <w:rFonts w:hint="eastAsia"/>
                <w:color w:val="auto"/>
                <w:sz w:val="24"/>
                <w:szCs w:val="24"/>
                <w:highlight w:val="none"/>
                <w:lang w:eastAsia="zh-CN"/>
              </w:rPr>
              <w:t>合出厂标准，成交供应商须在领取中标通知书前提供参数清单中所有产品生产厂商或第三方检测机构2023年度的检测报告原件，此要求为实质性要求，无法提供作废标处理（产品检测标准应符合国家或相关行业质检标准且满足本项目参数要求实质性要求）。如供应商提供假冒伪劣产品，采购人有权要求停止供货或拒收，并向相关部门进行举报。</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2、供应商交货时提供的农药化肥等生产日期在最近10个月内。</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3、交货过程中如发现漏袋、损坏等质量不合格情况，供应商应免费无条件、快速的予以更换；否则，采购人有权拒绝收货。</w:t>
            </w:r>
          </w:p>
          <w:p>
            <w:pPr>
              <w:pStyle w:val="2"/>
              <w:spacing w:before="66" w:line="400" w:lineRule="exact"/>
              <w:ind w:right="890" w:firstLine="480" w:firstLineChars="200"/>
              <w:rPr>
                <w:rFonts w:hint="eastAsia"/>
                <w:color w:val="auto"/>
                <w:sz w:val="24"/>
                <w:szCs w:val="24"/>
                <w:highlight w:val="none"/>
                <w:lang w:eastAsia="zh-CN"/>
              </w:rPr>
            </w:pPr>
            <w:r>
              <w:rPr>
                <w:rFonts w:hint="eastAsia"/>
                <w:color w:val="auto"/>
                <w:sz w:val="24"/>
                <w:szCs w:val="24"/>
                <w:highlight w:val="none"/>
                <w:lang w:eastAsia="zh-CN"/>
              </w:rPr>
              <w:t>4、供应商经营产品如出现严重质量问题，暂停供应商供货，并追究相关法律责任。</w:t>
            </w:r>
          </w:p>
          <w:p>
            <w:pPr>
              <w:pStyle w:val="2"/>
              <w:spacing w:before="66" w:line="400" w:lineRule="exact"/>
              <w:ind w:right="890" w:firstLine="480" w:firstLineChars="200"/>
              <w:rPr>
                <w:rFonts w:hint="eastAsia"/>
                <w:color w:val="auto"/>
                <w:sz w:val="24"/>
                <w:szCs w:val="24"/>
                <w:highlight w:val="none"/>
              </w:rPr>
            </w:pPr>
            <w:r>
              <w:rPr>
                <w:rFonts w:hint="eastAsia"/>
                <w:color w:val="auto"/>
                <w:sz w:val="24"/>
                <w:szCs w:val="24"/>
                <w:highlight w:val="none"/>
              </w:rPr>
              <w:t>5、成交供应商须指派专人负责与采购人联系供货及售后服务事宜。</w:t>
            </w:r>
          </w:p>
          <w:p>
            <w:pPr>
              <w:pStyle w:val="2"/>
              <w:spacing w:before="66" w:line="400" w:lineRule="exact"/>
              <w:ind w:right="890" w:firstLine="480" w:firstLineChars="200"/>
              <w:rPr>
                <w:color w:val="auto"/>
                <w:highlight w:val="none"/>
              </w:rPr>
            </w:pPr>
            <w:r>
              <w:rPr>
                <w:rFonts w:hint="eastAsia" w:ascii="宋体" w:hAnsi="宋体" w:eastAsia="宋体" w:cs="宋体"/>
                <w:bCs/>
                <w:color w:val="auto"/>
                <w:sz w:val="24"/>
                <w:highlight w:val="none"/>
                <w:lang w:val="en-US" w:eastAsia="zh-CN"/>
              </w:rPr>
              <w:t>6、中选供应商需提供样品，</w:t>
            </w:r>
            <w:r>
              <w:rPr>
                <w:rFonts w:hint="eastAsia" w:hAnsi="宋体" w:cs="宋体"/>
                <w:bCs/>
                <w:color w:val="auto"/>
                <w:sz w:val="24"/>
                <w:highlight w:val="none"/>
              </w:rPr>
              <w:t>采购人对</w:t>
            </w:r>
            <w:r>
              <w:rPr>
                <w:rFonts w:hint="eastAsia" w:hAnsi="宋体" w:cs="宋体"/>
                <w:bCs/>
                <w:color w:val="auto"/>
                <w:sz w:val="24"/>
                <w:highlight w:val="none"/>
                <w:lang w:val="en-US" w:eastAsia="zh-CN"/>
              </w:rPr>
              <w:t>中选</w:t>
            </w:r>
            <w:r>
              <w:rPr>
                <w:rFonts w:hint="eastAsia" w:hAnsi="宋体" w:cs="宋体"/>
                <w:bCs/>
                <w:color w:val="auto"/>
                <w:sz w:val="24"/>
                <w:highlight w:val="none"/>
              </w:rPr>
              <w:t>供应商提供的样品进行封样，并作为后续到货验收的依据。</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pStyle w:val="2"/>
              <w:spacing w:before="66" w:line="400" w:lineRule="exact"/>
              <w:ind w:right="890" w:rightChars="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商务要求</w:t>
            </w:r>
          </w:p>
          <w:p>
            <w:pPr>
              <w:pStyle w:val="2"/>
              <w:spacing w:before="66" w:line="400" w:lineRule="exact"/>
              <w:ind w:right="890" w:rightChars="0" w:firstLine="480" w:firstLineChars="200"/>
              <w:jc w:val="left"/>
              <w:rPr>
                <w:rFonts w:ascii="宋体" w:hAnsi="宋体"/>
                <w:color w:val="auto"/>
                <w:sz w:val="24"/>
                <w:highlight w:val="none"/>
              </w:rPr>
            </w:pPr>
            <w:r>
              <w:rPr>
                <w:rFonts w:hint="eastAsia"/>
                <w:color w:val="auto"/>
                <w:sz w:val="24"/>
                <w:szCs w:val="24"/>
                <w:highlight w:val="none"/>
              </w:rPr>
              <w:t>本项目无定金和预付款，每批次供货完成验收合格后，供货商开具等额增值税发票后，由采购人一次性付清货款</w:t>
            </w:r>
            <w:r>
              <w:rPr>
                <w:rFonts w:hint="eastAsia"/>
                <w:color w:val="auto"/>
                <w:sz w:val="24"/>
                <w:szCs w:val="24"/>
                <w:highlight w:val="none"/>
                <w:lang w:eastAsia="zh-CN"/>
              </w:rPr>
              <w:t>。</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其他要求</w:t>
            </w:r>
          </w:p>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本项目提供的有机肥符合以下标准：</w:t>
            </w:r>
          </w:p>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1.生物有机肥执行标准:NY884-2012及无害化指标，粪大肠菌群数≤100个/g蛔虫卵死亡率&gt;95%。</w:t>
            </w:r>
          </w:p>
          <w:p>
            <w:pPr>
              <w:pStyle w:val="2"/>
              <w:spacing w:before="66" w:line="400" w:lineRule="exact"/>
              <w:ind w:left="0" w:leftChars="0" w:right="890" w:rightChars="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2.重金属限量指标: (1) (pd) (以烘干基计)&lt;50mg/kg;(2) (cd)(以烘干基计)&lt;3mg/kg;(3)铬 (cr) (以烘干基计)≤150mg/kg;(4)砷 (As)(以烘干基计≤15mg/ka;(5)汞(Hg) (以烘千基计)2mg/kg。</w:t>
            </w:r>
          </w:p>
          <w:p>
            <w:pPr>
              <w:pStyle w:val="2"/>
              <w:spacing w:before="66" w:line="400" w:lineRule="exact"/>
              <w:ind w:left="0" w:leftChars="0" w:right="890" w:rightChars="0"/>
              <w:jc w:val="both"/>
              <w:rPr>
                <w:rFonts w:ascii="宋体" w:hAnsi="宋体"/>
                <w:color w:val="auto"/>
                <w:sz w:val="24"/>
                <w:highlight w:val="none"/>
              </w:rPr>
            </w:pPr>
            <w:r>
              <w:rPr>
                <w:rFonts w:hint="eastAsia" w:ascii="Times New Roman" w:hAnsi="Times New Roman" w:eastAsia="宋体" w:cs="Times New Roman"/>
                <w:color w:val="auto"/>
                <w:sz w:val="24"/>
                <w:szCs w:val="24"/>
                <w:highlight w:val="none"/>
                <w:lang w:val="en-US" w:eastAsia="zh-CN"/>
              </w:rPr>
              <w:t>3.外观颜色为褐色或灰褐色，粒状，均匀，无恶臭，无机械杂质。禁止选用粉煤灰，钢渣，污泥，生活垃圾，含有外来入侵物种的物料和法律法规禁止的物料等存在安全隐患的禁用类原料。</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sectPr>
          <w:type w:val="continuous"/>
          <w:pgSz w:w="11910" w:h="16840"/>
          <w:pgMar w:top="993" w:right="1020" w:bottom="1180" w:left="1040" w:header="0" w:footer="993" w:gutter="0"/>
          <w:pgNumType w:start="20"/>
          <w:cols w:space="720" w:num="1"/>
        </w:sect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3"/>
          <w:rFonts w:hint="eastAsia"/>
          <w:color w:val="auto"/>
          <w:highlight w:val="none"/>
        </w:rPr>
      </w:pPr>
      <w:bookmarkStart w:id="65" w:name="_Toc91771175"/>
      <w:bookmarkStart w:id="66" w:name="_Toc5422"/>
      <w:bookmarkStart w:id="67" w:name="_Toc797"/>
      <w:r>
        <w:rPr>
          <w:rFonts w:hint="eastAsia" w:ascii="黑体" w:hAnsi="黑体" w:eastAsia="黑体"/>
          <w:color w:val="auto"/>
          <w:sz w:val="36"/>
          <w:highlight w:val="none"/>
        </w:rPr>
        <w:t>第五章 保证金退还申请书</w:t>
      </w:r>
      <w:bookmarkEnd w:id="65"/>
      <w:bookmarkEnd w:id="66"/>
      <w:bookmarkEnd w:id="67"/>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15196688161</w:t>
      </w:r>
      <w:r>
        <w:rPr>
          <w:rFonts w:hint="eastAsia" w:ascii="Times New Roman" w:hAnsi="Times New Roman" w:eastAsia="宋体" w:cs="Times New Roman"/>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聂女士</w:t>
      </w:r>
      <w:r>
        <w:rPr>
          <w:rFonts w:hint="eastAsia"/>
          <w:color w:val="auto"/>
          <w:sz w:val="24"/>
          <w:highlight w:val="none"/>
        </w:rPr>
        <w:t xml:space="preserve"> </w:t>
      </w:r>
    </w:p>
    <w:p>
      <w:pPr>
        <w:spacing w:before="156" w:beforeLines="50" w:after="468" w:afterLines="150"/>
        <w:jc w:val="center"/>
        <w:outlineLvl w:val="0"/>
        <w:rPr>
          <w:rStyle w:val="23"/>
          <w:rFonts w:hint="eastAsia" w:eastAsia="黑体"/>
          <w:color w:val="auto"/>
          <w:highlight w:val="none"/>
        </w:rPr>
      </w:pPr>
      <w:r>
        <w:rPr>
          <w:rFonts w:hint="eastAsia"/>
          <w:color w:val="auto"/>
          <w:highlight w:val="none"/>
        </w:rPr>
        <w:br w:type="page"/>
      </w:r>
      <w:bookmarkStart w:id="68" w:name="_Toc91771176"/>
      <w:bookmarkStart w:id="69"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8"/>
      <w:bookmarkEnd w:id="6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0" w:name="_Toc32464"/>
      <w:bookmarkStart w:id="71" w:name="_Toc91771177"/>
      <w:r>
        <w:rPr>
          <w:rFonts w:hint="eastAsia" w:ascii="宋体" w:hAnsi="宋体"/>
          <w:b/>
          <w:bCs/>
          <w:color w:val="auto"/>
          <w:sz w:val="24"/>
          <w:highlight w:val="none"/>
        </w:rPr>
        <w:t>一、询价程序</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29972"/>
      <w:bookmarkStart w:id="73" w:name="_Toc91771178"/>
      <w:r>
        <w:rPr>
          <w:rFonts w:hint="eastAsia" w:ascii="宋体" w:hAnsi="宋体"/>
          <w:b/>
          <w:bCs/>
          <w:color w:val="auto"/>
          <w:sz w:val="24"/>
          <w:highlight w:val="none"/>
        </w:rPr>
        <w:t>二、评审程序、评审方法、评审标准</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91771179"/>
      <w:bookmarkStart w:id="75" w:name="_Toc26769"/>
      <w:r>
        <w:rPr>
          <w:rFonts w:hint="eastAsia" w:ascii="宋体" w:hAnsi="宋体"/>
          <w:b/>
          <w:bCs/>
          <w:color w:val="auto"/>
          <w:sz w:val="24"/>
          <w:highlight w:val="none"/>
        </w:rPr>
        <w:t>三、评审纪律</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1"/>
      <w:bookmarkEnd w:id="32"/>
      <w:bookmarkEnd w:id="33"/>
      <w:bookmarkStart w:id="76" w:name="_Hlt101846155"/>
      <w:bookmarkEnd w:id="76"/>
      <w:bookmarkStart w:id="77" w:name="_Toc217446059"/>
      <w:bookmarkStart w:id="78"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79" w:name="_Toc91771180"/>
      <w:bookmarkStart w:id="80" w:name="_Toc16431"/>
      <w:r>
        <w:rPr>
          <w:rFonts w:hint="eastAsia" w:ascii="黑体" w:hAnsi="黑体" w:eastAsia="黑体"/>
          <w:color w:val="auto"/>
          <w:sz w:val="36"/>
          <w:highlight w:val="none"/>
        </w:rPr>
        <w:t>第七章 采购合同（草案）</w:t>
      </w:r>
      <w:bookmarkEnd w:id="79"/>
      <w:bookmarkEnd w:id="80"/>
    </w:p>
    <w:bookmarkEnd w:id="77"/>
    <w:bookmarkEnd w:id="78"/>
    <w:p>
      <w:pPr>
        <w:pStyle w:val="2"/>
        <w:spacing w:before="10"/>
        <w:ind w:firstLine="562" w:firstLineChars="200"/>
        <w:rPr>
          <w:rFonts w:hint="eastAsia" w:ascii="Arial" w:eastAsia="宋体"/>
          <w:b/>
          <w:color w:val="auto"/>
          <w:sz w:val="28"/>
          <w:szCs w:val="28"/>
          <w:highlight w:val="none"/>
          <w:lang w:eastAsia="zh-CN"/>
        </w:rPr>
      </w:pPr>
      <w:r>
        <w:rPr>
          <w:rFonts w:hint="eastAsia" w:ascii="Arial"/>
          <w:b/>
          <w:color w:val="auto"/>
          <w:sz w:val="28"/>
          <w:szCs w:val="28"/>
          <w:highlight w:val="none"/>
          <w:lang w:eastAsia="zh-CN"/>
        </w:rPr>
        <w:t>（此为合同草案，在正式签订合同前，可调整、补充细节，原则上以此草案为准。）</w:t>
      </w:r>
    </w:p>
    <w:p>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rPr>
        <w:t>采购人（甲方）：</w:t>
      </w: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供应商（乙</w:t>
      </w:r>
      <w:r>
        <w:rPr>
          <w:rFonts w:ascii="宋体" w:hAnsi="宋体" w:eastAsia="宋体"/>
          <w:color w:val="auto"/>
          <w:sz w:val="24"/>
          <w:highlight w:val="none"/>
        </w:rPr>
        <w:t>方</w:t>
      </w:r>
      <w:r>
        <w:rPr>
          <w:rFonts w:hint="eastAsia" w:ascii="宋体" w:hAnsi="宋体" w:eastAsia="宋体"/>
          <w:color w:val="auto"/>
          <w:sz w:val="24"/>
          <w:highlight w:val="none"/>
        </w:rPr>
        <w:t>）</w:t>
      </w:r>
      <w:r>
        <w:rPr>
          <w:rFonts w:ascii="宋体" w:hAnsi="宋体" w:eastAsia="宋体"/>
          <w:color w:val="auto"/>
          <w:sz w:val="24"/>
          <w:highlight w:val="none"/>
        </w:rPr>
        <w:t xml:space="preserve">： </w:t>
      </w:r>
    </w:p>
    <w:p>
      <w:pPr>
        <w:spacing w:line="500" w:lineRule="exact"/>
        <w:rPr>
          <w:rFonts w:ascii="宋体" w:hAnsi="宋体" w:eastAsia="宋体"/>
          <w:color w:val="auto"/>
          <w:sz w:val="24"/>
          <w:highlight w:val="none"/>
        </w:rPr>
      </w:pPr>
    </w:p>
    <w:p>
      <w:pPr>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根据《中华人民共和国</w:t>
      </w:r>
      <w:r>
        <w:rPr>
          <w:rFonts w:hint="eastAsia" w:ascii="宋体" w:hAnsi="宋体" w:eastAsia="宋体"/>
          <w:color w:val="auto"/>
          <w:sz w:val="24"/>
          <w:highlight w:val="none"/>
          <w:lang w:eastAsia="zh-CN"/>
        </w:rPr>
        <w:t>民法典</w:t>
      </w:r>
      <w:r>
        <w:rPr>
          <w:rFonts w:hint="eastAsia" w:ascii="宋体" w:hAnsi="宋体" w:eastAsia="宋体"/>
          <w:color w:val="auto"/>
          <w:sz w:val="24"/>
          <w:highlight w:val="none"/>
        </w:rPr>
        <w:t>》及XXXX采购项目（项目编号：</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numPr>
          <w:ilvl w:val="0"/>
          <w:numId w:val="6"/>
        </w:numPr>
        <w:spacing w:line="360" w:lineRule="auto"/>
        <w:rPr>
          <w:color w:val="auto"/>
          <w:highlight w:val="none"/>
        </w:rPr>
      </w:pPr>
      <w:r>
        <w:rPr>
          <w:rFonts w:hint="eastAsia" w:ascii="宋体" w:hAnsi="宋体" w:eastAsia="宋体"/>
          <w:b/>
          <w:color w:val="auto"/>
          <w:sz w:val="24"/>
          <w:highlight w:val="none"/>
        </w:rPr>
        <w:t>供货内容、价格及数量</w:t>
      </w:r>
    </w:p>
    <w:p>
      <w:pPr>
        <w:spacing w:before="0" w:beforeLines="0" w:line="360" w:lineRule="auto"/>
        <w:rPr>
          <w:rFonts w:hint="eastAsia"/>
          <w:color w:val="auto"/>
          <w:sz w:val="24"/>
          <w:szCs w:val="24"/>
          <w:highlight w:val="none"/>
        </w:rPr>
      </w:pPr>
      <w:r>
        <w:rPr>
          <w:rFonts w:hint="eastAsia" w:ascii="宋体" w:hAnsi="宋体" w:eastAsia="宋体" w:cs="宋体"/>
          <w:color w:val="auto"/>
          <w:sz w:val="24"/>
          <w:highlight w:val="none"/>
          <w:lang w:val="en-US" w:eastAsia="zh-CN"/>
        </w:rPr>
        <w:t>1.</w:t>
      </w:r>
      <w:r>
        <w:rPr>
          <w:rFonts w:hint="eastAsia"/>
          <w:color w:val="auto"/>
          <w:highlight w:val="none"/>
        </w:rPr>
        <w:t>合同金额：人民币</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（含税</w:t>
      </w:r>
      <w:r>
        <w:rPr>
          <w:rFonts w:hint="eastAsia"/>
          <w:color w:val="auto"/>
          <w:sz w:val="24"/>
          <w:szCs w:val="24"/>
          <w:highlight w:val="none"/>
        </w:rPr>
        <w:t>）元(大写：</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w:t>
      </w:r>
    </w:p>
    <w:p>
      <w:pPr>
        <w:spacing w:before="0" w:beforeLines="0" w:line="360" w:lineRule="auto"/>
        <w:rPr>
          <w:rFonts w:hint="eastAsia" w:ascii="宋体" w:hAnsi="宋体" w:eastAsia="宋体" w:cs="宋体"/>
          <w:color w:val="auto"/>
          <w:sz w:val="24"/>
          <w:highlight w:val="none"/>
        </w:rPr>
      </w:pPr>
      <w:r>
        <w:rPr>
          <w:rFonts w:hint="eastAsia" w:eastAsia="宋体"/>
          <w:color w:val="auto"/>
          <w:sz w:val="24"/>
          <w:szCs w:val="24"/>
          <w:highlight w:val="none"/>
          <w:lang w:val="en-US" w:eastAsia="zh-CN"/>
        </w:rPr>
        <w:t>2.</w:t>
      </w:r>
      <w:r>
        <w:rPr>
          <w:rFonts w:hint="eastAsia" w:ascii="宋体" w:hAnsi="宋体" w:eastAsia="宋体" w:cs="宋体"/>
          <w:color w:val="auto"/>
          <w:sz w:val="24"/>
          <w:highlight w:val="none"/>
        </w:rPr>
        <w:t>所有报价均用人民币表示，所报单价是包干价即包括但不限于材料费、人工费、运输费、搬运费、下车费、管理费、利润、</w:t>
      </w:r>
      <w:r>
        <w:rPr>
          <w:rFonts w:hint="eastAsia" w:ascii="宋体" w:hAnsi="宋体" w:eastAsia="宋体" w:cs="宋体"/>
          <w:color w:val="auto"/>
          <w:sz w:val="24"/>
          <w:highlight w:val="none"/>
          <w:lang w:val="en-US" w:eastAsia="zh-CN"/>
        </w:rPr>
        <w:t>配送费、</w:t>
      </w:r>
      <w:r>
        <w:rPr>
          <w:rFonts w:hint="eastAsia" w:ascii="宋体" w:hAnsi="宋体" w:eastAsia="宋体" w:cs="宋体"/>
          <w:color w:val="auto"/>
          <w:sz w:val="24"/>
          <w:highlight w:val="none"/>
        </w:rPr>
        <w:t>税金</w:t>
      </w:r>
      <w:r>
        <w:rPr>
          <w:rFonts w:hint="eastAsia"/>
          <w:b/>
          <w:bCs/>
          <w:color w:val="auto"/>
          <w:sz w:val="21"/>
          <w:szCs w:val="21"/>
          <w:highlight w:val="none"/>
        </w:rPr>
        <w:t>（</w:t>
      </w:r>
      <w:r>
        <w:rPr>
          <w:rFonts w:hint="eastAsia"/>
          <w:b/>
          <w:bCs/>
          <w:color w:val="auto"/>
          <w:sz w:val="21"/>
          <w:szCs w:val="21"/>
          <w:highlight w:val="none"/>
          <w:u w:val="single"/>
          <w:lang w:val="en-US" w:eastAsia="zh-CN"/>
        </w:rPr>
        <w:t>3%</w:t>
      </w:r>
      <w:r>
        <w:rPr>
          <w:rFonts w:hint="eastAsia"/>
          <w:b/>
          <w:bCs/>
          <w:color w:val="auto"/>
          <w:sz w:val="21"/>
          <w:szCs w:val="21"/>
          <w:highlight w:val="none"/>
        </w:rPr>
        <w:t>）</w:t>
      </w:r>
      <w:r>
        <w:rPr>
          <w:rFonts w:hint="eastAsia" w:ascii="宋体" w:hAnsi="宋体" w:eastAsia="宋体" w:cs="宋体"/>
          <w:color w:val="auto"/>
          <w:sz w:val="24"/>
          <w:highlight w:val="none"/>
        </w:rPr>
        <w:t>等完成本项目所需的一切费用。</w:t>
      </w:r>
    </w:p>
    <w:p>
      <w:pPr>
        <w:spacing w:before="0" w:beforeLines="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kern w:val="0"/>
          <w:sz w:val="24"/>
          <w:szCs w:val="24"/>
          <w:highlight w:val="none"/>
          <w:lang w:val="en-US" w:eastAsia="zh-CN" w:bidi="ar-SA"/>
        </w:rPr>
        <w:t>合同形式是</w:t>
      </w:r>
      <w:r>
        <w:rPr>
          <w:rFonts w:hint="eastAsia" w:ascii="宋体" w:hAnsi="宋体" w:cs="宋体"/>
          <w:b/>
          <w:bCs/>
          <w:color w:val="auto"/>
          <w:kern w:val="0"/>
          <w:sz w:val="24"/>
          <w:szCs w:val="24"/>
          <w:highlight w:val="none"/>
          <w:u w:val="single"/>
          <w:lang w:val="en-US" w:eastAsia="zh-CN" w:bidi="ar-SA"/>
        </w:rPr>
        <w:t>单价</w:t>
      </w:r>
      <w:r>
        <w:rPr>
          <w:rFonts w:hint="eastAsia" w:ascii="宋体" w:hAnsi="宋体" w:cs="宋体"/>
          <w:color w:val="auto"/>
          <w:kern w:val="0"/>
          <w:sz w:val="24"/>
          <w:szCs w:val="24"/>
          <w:highlight w:val="none"/>
          <w:lang w:val="en-US" w:eastAsia="zh-CN" w:bidi="ar-SA"/>
        </w:rPr>
        <w:t>合同，采购数量</w:t>
      </w:r>
      <w:r>
        <w:rPr>
          <w:rFonts w:hint="eastAsia" w:ascii="宋体" w:hAnsi="宋体" w:eastAsia="宋体" w:cs="宋体"/>
          <w:color w:val="auto"/>
          <w:sz w:val="24"/>
          <w:highlight w:val="none"/>
          <w:lang w:val="en-US" w:eastAsia="zh-CN"/>
        </w:rPr>
        <w:t>按照实际交付的数量结算</w:t>
      </w:r>
      <w:r>
        <w:rPr>
          <w:rFonts w:hint="eastAsia" w:ascii="宋体" w:hAnsi="宋体" w:eastAsia="宋体" w:cs="宋体"/>
          <w:color w:val="auto"/>
          <w:sz w:val="24"/>
          <w:highlight w:val="none"/>
        </w:rPr>
        <w:t>。</w:t>
      </w:r>
    </w:p>
    <w:p>
      <w:pPr>
        <w:spacing w:before="0" w:beforeLines="0" w:line="360" w:lineRule="auto"/>
        <w:rPr>
          <w:rFonts w:hint="default"/>
          <w:color w:val="auto"/>
          <w:highlight w:val="none"/>
          <w:lang w:val="en-US" w:eastAsia="zh-CN"/>
        </w:rPr>
      </w:pPr>
      <w:r>
        <w:rPr>
          <w:rFonts w:hint="eastAsia" w:ascii="宋体" w:hAnsi="宋体" w:eastAsia="宋体" w:cs="宋体"/>
          <w:color w:val="auto"/>
          <w:sz w:val="24"/>
          <w:highlight w:val="none"/>
          <w:lang w:val="en-US" w:eastAsia="zh-CN"/>
        </w:rPr>
        <w:t>4.供货商每次送货时提供产品检验报告或合格证。</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二、交货时间、地点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交货时间：</w:t>
      </w:r>
      <w:r>
        <w:rPr>
          <w:rFonts w:hint="eastAsia" w:ascii="宋体" w:hAnsi="宋体" w:eastAsia="宋体" w:cs="Times New Roman"/>
          <w:color w:val="auto"/>
          <w:sz w:val="24"/>
          <w:highlight w:val="none"/>
          <w:lang w:val="zh-CN" w:eastAsia="zh-CN"/>
        </w:rPr>
        <w:t>成交合同签订后，按采购人要求供货（分批次）。</w:t>
      </w:r>
    </w:p>
    <w:p>
      <w:pPr>
        <w:pStyle w:val="24"/>
        <w:numPr>
          <w:ilvl w:val="0"/>
          <w:numId w:val="0"/>
        </w:numPr>
        <w:spacing w:line="360" w:lineRule="auto"/>
        <w:ind w:left="420" w:leftChars="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交货地点：乙方将货物送到甲方指定地点</w:t>
      </w:r>
      <w:r>
        <w:rPr>
          <w:rFonts w:hint="eastAsia" w:ascii="宋体" w:hAnsi="宋体"/>
          <w:color w:val="auto"/>
          <w:sz w:val="24"/>
          <w:szCs w:val="24"/>
          <w:highlight w:val="none"/>
          <w:lang w:eastAsia="zh-CN"/>
        </w:rPr>
        <w:t>。</w:t>
      </w:r>
    </w:p>
    <w:p>
      <w:pPr>
        <w:pStyle w:val="24"/>
        <w:numPr>
          <w:ilvl w:val="0"/>
          <w:numId w:val="0"/>
        </w:numPr>
        <w:spacing w:line="360" w:lineRule="auto"/>
        <w:ind w:left="420" w:leftChars="0"/>
        <w:rPr>
          <w:rFonts w:ascii="宋体" w:hAnsi="宋体"/>
          <w:color w:val="auto"/>
          <w:sz w:val="24"/>
          <w:szCs w:val="24"/>
          <w:highlight w:val="none"/>
        </w:rPr>
      </w:pPr>
      <w:r>
        <w:rPr>
          <w:rFonts w:hint="eastAsia" w:ascii="宋体" w:hAnsi="宋体"/>
          <w:color w:val="auto"/>
          <w:sz w:val="24"/>
          <w:szCs w:val="24"/>
          <w:highlight w:val="none"/>
          <w:lang w:val="en-US" w:eastAsia="zh-CN"/>
        </w:rPr>
        <w:t>3.货物的损毁灭失风险自乙方将货物运送至甲方指定地点验收完毕并合格后转移给甲方.</w:t>
      </w:r>
    </w:p>
    <w:p>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三、</w:t>
      </w:r>
      <w:r>
        <w:rPr>
          <w:rFonts w:ascii="宋体" w:hAnsi="宋体" w:eastAsia="宋体"/>
          <w:b/>
          <w:color w:val="auto"/>
          <w:sz w:val="24"/>
          <w:highlight w:val="none"/>
        </w:rPr>
        <w:t>质量技术指标及质量验收标准</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ascii="宋体" w:hAnsi="宋体" w:eastAsia="宋体" w:cs="宋体"/>
          <w:bCs/>
          <w:color w:val="auto"/>
          <w:sz w:val="24"/>
          <w:highlight w:val="none"/>
        </w:rPr>
        <w:t>.</w:t>
      </w:r>
      <w:r>
        <w:rPr>
          <w:rFonts w:hint="eastAsia" w:ascii="宋体" w:hAnsi="宋体" w:eastAsia="宋体" w:cs="宋体"/>
          <w:bCs/>
          <w:color w:val="auto"/>
          <w:sz w:val="24"/>
          <w:highlight w:val="none"/>
        </w:rPr>
        <w:t>交货时需提供供货产品合格证明文件，必须符合国家</w:t>
      </w:r>
      <w:r>
        <w:rPr>
          <w:rFonts w:hint="eastAsia" w:ascii="宋体" w:hAnsi="宋体" w:eastAsia="宋体" w:cs="宋体"/>
          <w:bCs/>
          <w:color w:val="auto"/>
          <w:sz w:val="24"/>
          <w:highlight w:val="none"/>
          <w:lang w:eastAsia="zh-CN"/>
        </w:rPr>
        <w:t>标准（无国标的按行业标准、企业标准、以此类推）。如供货商提供假冒伪劣产品，采购人有权要求停止供货或拒收，并向相关部门进行举报</w:t>
      </w:r>
      <w:r>
        <w:rPr>
          <w:rFonts w:hint="eastAsia" w:ascii="宋体" w:hAnsi="宋体" w:eastAsia="宋体" w:cs="宋体"/>
          <w:bCs/>
          <w:color w:val="auto"/>
          <w:sz w:val="24"/>
          <w:highlight w:val="none"/>
        </w:rPr>
        <w:t>。</w:t>
      </w:r>
    </w:p>
    <w:p>
      <w:pPr>
        <w:pStyle w:val="2"/>
        <w:spacing w:line="360" w:lineRule="auto"/>
        <w:ind w:firstLine="278" w:firstLineChars="116"/>
        <w:rPr>
          <w:rFonts w:ascii="宋体" w:hAnsi="宋体" w:eastAsia="宋体" w:cs="宋体"/>
          <w:bCs/>
          <w:color w:val="auto"/>
          <w:sz w:val="24"/>
          <w:highlight w:val="none"/>
        </w:rPr>
      </w:pPr>
      <w:r>
        <w:rPr>
          <w:rFonts w:ascii="宋体" w:hAnsi="宋体" w:eastAsia="宋体" w:cs="宋体"/>
          <w:bCs/>
          <w:color w:val="auto"/>
          <w:sz w:val="24"/>
          <w:highlight w:val="none"/>
        </w:rPr>
        <w:t>2.</w:t>
      </w:r>
      <w:r>
        <w:rPr>
          <w:rFonts w:hint="eastAsia" w:ascii="宋体" w:hAnsi="宋体" w:eastAsia="宋体" w:cs="宋体"/>
          <w:bCs/>
          <w:color w:val="auto"/>
          <w:sz w:val="24"/>
          <w:highlight w:val="none"/>
        </w:rPr>
        <w:t>供应商交货时提供的</w:t>
      </w:r>
      <w:r>
        <w:rPr>
          <w:rFonts w:hint="eastAsia" w:ascii="宋体" w:hAnsi="宋体" w:eastAsia="宋体" w:cs="宋体"/>
          <w:bCs/>
          <w:color w:val="auto"/>
          <w:sz w:val="24"/>
          <w:highlight w:val="none"/>
          <w:lang w:val="en-US" w:eastAsia="zh-CN"/>
        </w:rPr>
        <w:t>农药及化肥生产日期在最近10个月内</w:t>
      </w:r>
      <w:r>
        <w:rPr>
          <w:rFonts w:hint="eastAsia" w:ascii="宋体" w:hAnsi="宋体" w:eastAsia="宋体"/>
          <w:color w:val="auto"/>
          <w:sz w:val="24"/>
          <w:highlight w:val="none"/>
        </w:rPr>
        <w:t>；否则，甲方有权拒绝收货</w:t>
      </w:r>
      <w:r>
        <w:rPr>
          <w:rFonts w:hint="eastAsia" w:ascii="宋体" w:hAnsi="宋体" w:eastAsia="宋体" w:cs="宋体"/>
          <w:bCs/>
          <w:color w:val="auto"/>
          <w:sz w:val="24"/>
          <w:highlight w:val="none"/>
        </w:rPr>
        <w:t>。</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ascii="宋体" w:hAnsi="宋体" w:eastAsia="宋体" w:cs="宋体"/>
          <w:bCs/>
          <w:color w:val="auto"/>
          <w:sz w:val="24"/>
          <w:highlight w:val="none"/>
        </w:rPr>
        <w:t>.</w:t>
      </w:r>
      <w:r>
        <w:rPr>
          <w:rFonts w:hint="eastAsia" w:ascii="宋体" w:hAnsi="宋体" w:eastAsia="宋体" w:cs="宋体"/>
          <w:bCs/>
          <w:color w:val="auto"/>
          <w:sz w:val="24"/>
          <w:highlight w:val="none"/>
        </w:rPr>
        <w:t>交货过程中如发现漏袋、损坏等</w:t>
      </w:r>
      <w:r>
        <w:rPr>
          <w:rFonts w:hint="eastAsia" w:ascii="宋体" w:hAnsi="宋体" w:eastAsia="宋体"/>
          <w:color w:val="auto"/>
          <w:sz w:val="24"/>
          <w:highlight w:val="none"/>
        </w:rPr>
        <w:t>质量不合格</w:t>
      </w:r>
      <w:r>
        <w:rPr>
          <w:rFonts w:hint="eastAsia" w:ascii="宋体" w:hAnsi="宋体" w:eastAsia="宋体" w:cs="宋体"/>
          <w:bCs/>
          <w:color w:val="auto"/>
          <w:sz w:val="24"/>
          <w:highlight w:val="none"/>
        </w:rPr>
        <w:t>情况，乙方应免费无条件、快速的予以更换</w:t>
      </w:r>
      <w:r>
        <w:rPr>
          <w:rFonts w:hint="eastAsia" w:ascii="宋体" w:hAnsi="宋体" w:eastAsia="宋体"/>
          <w:color w:val="auto"/>
          <w:sz w:val="24"/>
          <w:highlight w:val="none"/>
        </w:rPr>
        <w:t>；否则，甲方有权拒绝收货。</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4.乙方经营产品如出现严重质量问题，暂停乙方供货，并追究相关法律责任。</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5.乙方应保证所提供的商品不侵犯第三方的专利权、商标权、著作权或其他知识产权。若乙方的行为侵犯了第三方的前述权利，并造成了第三方追究甲方的责任，甲方为此所受到的损失，应由乙方承担。</w:t>
      </w:r>
    </w:p>
    <w:p>
      <w:pPr>
        <w:pStyle w:val="2"/>
        <w:spacing w:line="360" w:lineRule="auto"/>
        <w:ind w:firstLine="278" w:firstLineChars="11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color w:val="auto"/>
          <w:sz w:val="24"/>
          <w:highlight w:val="none"/>
        </w:rPr>
      </w:pPr>
      <w:r>
        <w:rPr>
          <w:rFonts w:hint="eastAsia" w:ascii="宋体" w:hAnsi="宋体" w:eastAsia="宋体"/>
          <w:b/>
          <w:color w:val="auto"/>
          <w:sz w:val="24"/>
          <w:highlight w:val="none"/>
        </w:rPr>
        <w:t>四、付款方式及期限</w:t>
      </w:r>
    </w:p>
    <w:p>
      <w:pPr>
        <w:pStyle w:val="2"/>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本项目无定金和预付款，</w:t>
      </w:r>
      <w:r>
        <w:rPr>
          <w:rFonts w:hint="eastAsia" w:ascii="宋体" w:hAnsi="宋体" w:eastAsia="宋体" w:cs="宋体"/>
          <w:bCs/>
          <w:color w:val="auto"/>
          <w:sz w:val="24"/>
          <w:highlight w:val="none"/>
          <w:lang w:eastAsia="zh-CN"/>
        </w:rPr>
        <w:t>每批次供货完成验收合格后，供货商开具等额增值税专用发票后，由采购人一次性付清货款</w:t>
      </w:r>
      <w:r>
        <w:rPr>
          <w:rFonts w:hint="eastAsia" w:ascii="宋体" w:hAnsi="宋体" w:eastAsia="宋体" w:cs="宋体"/>
          <w:bCs/>
          <w:color w:val="auto"/>
          <w:sz w:val="24"/>
          <w:highlight w:val="none"/>
        </w:rPr>
        <w:t>。</w:t>
      </w:r>
    </w:p>
    <w:p>
      <w:pPr>
        <w:pStyle w:val="2"/>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zh-CN" w:eastAsia="zh-CN"/>
        </w:rPr>
        <w:t>成交合同签订后，按采购人要求供货，每批次</w:t>
      </w:r>
      <w:r>
        <w:rPr>
          <w:rFonts w:hint="eastAsia" w:ascii="宋体" w:hAnsi="宋体" w:eastAsia="宋体" w:cs="Times New Roman"/>
          <w:color w:val="auto"/>
          <w:sz w:val="24"/>
          <w:highlight w:val="none"/>
          <w:lang w:val="zh-CN" w:eastAsia="zh-CN"/>
        </w:rPr>
        <w:t>接到采购人通知后5天内供货完毕。（农药、化肥全年分</w:t>
      </w:r>
      <w:r>
        <w:rPr>
          <w:rFonts w:hint="eastAsia" w:ascii="宋体" w:hAnsi="宋体" w:eastAsia="宋体" w:cs="Times New Roman"/>
          <w:color w:val="auto"/>
          <w:sz w:val="24"/>
          <w:highlight w:val="none"/>
          <w:lang w:val="en-US" w:eastAsia="zh-CN"/>
        </w:rPr>
        <w:t>批</w:t>
      </w:r>
      <w:r>
        <w:rPr>
          <w:rFonts w:hint="eastAsia" w:ascii="宋体" w:hAnsi="宋体" w:eastAsia="宋体" w:cs="Times New Roman"/>
          <w:color w:val="auto"/>
          <w:sz w:val="24"/>
          <w:highlight w:val="none"/>
          <w:lang w:val="zh-CN" w:eastAsia="zh-CN"/>
        </w:rPr>
        <w:t>次</w:t>
      </w:r>
      <w:r>
        <w:rPr>
          <w:rFonts w:hint="eastAsia" w:ascii="宋体" w:hAnsi="宋体" w:eastAsia="宋体" w:cs="Times New Roman"/>
          <w:color w:val="auto"/>
          <w:sz w:val="24"/>
          <w:highlight w:val="none"/>
          <w:lang w:val="en-US" w:eastAsia="zh-CN"/>
        </w:rPr>
        <w:t>供货</w:t>
      </w:r>
      <w:r>
        <w:rPr>
          <w:rFonts w:hint="eastAsia" w:ascii="宋体" w:hAnsi="宋体" w:eastAsia="宋体" w:cs="Times New Roman"/>
          <w:color w:val="auto"/>
          <w:sz w:val="24"/>
          <w:highlight w:val="none"/>
          <w:lang w:val="zh-CN" w:eastAsia="zh-CN"/>
        </w:rPr>
        <w:t>，以实际需求为准）。</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default" w:hAnsi="宋体"/>
          <w:b/>
          <w:color w:val="auto"/>
          <w:sz w:val="24"/>
          <w:szCs w:val="24"/>
          <w:highlight w:val="none"/>
          <w:lang w:val="en-US" w:eastAsia="zh-CN"/>
        </w:rPr>
      </w:pPr>
      <w:r>
        <w:rPr>
          <w:rFonts w:hint="eastAsia" w:hAnsi="宋体"/>
          <w:b/>
          <w:color w:val="auto"/>
          <w:sz w:val="24"/>
          <w:szCs w:val="24"/>
          <w:highlight w:val="none"/>
          <w:lang w:val="en-US" w:eastAsia="zh-CN"/>
        </w:rPr>
        <w:t>五、履约验收</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Ansi="宋体"/>
          <w:color w:val="auto"/>
          <w:highlight w:val="none"/>
        </w:rPr>
      </w:pPr>
      <w:r>
        <w:rPr>
          <w:rFonts w:hint="eastAsia" w:hAnsi="宋体"/>
          <w:color w:val="auto"/>
          <w:highlight w:val="none"/>
        </w:rPr>
        <w:t>(1) 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color w:val="auto"/>
          <w:highlight w:val="none"/>
        </w:rPr>
      </w:pPr>
      <w:r>
        <w:rPr>
          <w:rFonts w:hint="eastAsia" w:hAnsi="宋体"/>
          <w:color w:val="auto"/>
          <w:highlight w:val="none"/>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color w:val="auto"/>
          <w:highlight w:val="none"/>
        </w:rPr>
      </w:pPr>
      <w:r>
        <w:rPr>
          <w:rFonts w:hint="eastAsia" w:hAnsi="宋体"/>
          <w:color w:val="auto"/>
          <w:highlight w:val="none"/>
        </w:rPr>
        <w:t>(3) 产品质量抽样验收合格，双方签署质量验收报告。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hAnsi="宋体"/>
          <w:b/>
          <w:bCs/>
          <w:color w:val="auto"/>
          <w:sz w:val="24"/>
          <w:szCs w:val="24"/>
          <w:highlight w:val="none"/>
          <w:lang w:eastAsia="zh-CN"/>
        </w:rPr>
      </w:pPr>
      <w:r>
        <w:rPr>
          <w:rFonts w:hint="eastAsia" w:hAnsi="宋体"/>
          <w:b/>
          <w:bCs/>
          <w:color w:val="auto"/>
          <w:sz w:val="24"/>
          <w:szCs w:val="24"/>
          <w:highlight w:val="none"/>
          <w:lang w:eastAsia="zh-CN"/>
        </w:rPr>
        <w:t>六、履约保证金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outlineLvl w:val="9"/>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1.乙方应在收到中选通知后次日向甲方账户支付    元作为履约保证金，期间不计算利息。</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val="en-US" w:eastAsia="zh-CN"/>
        </w:rPr>
      </w:pPr>
      <w:r>
        <w:rPr>
          <w:rFonts w:hint="eastAsia" w:hAnsi="宋体"/>
          <w:color w:val="auto"/>
          <w:sz w:val="24"/>
          <w:szCs w:val="24"/>
          <w:highlight w:val="none"/>
          <w:lang w:val="en-US" w:eastAsia="zh-CN"/>
        </w:rPr>
        <w:t>2.在合同执行过程中如发生扣除履约保证金的情况，扣除后乙方必须在下月补充缴纳足额的履约保证金，合同方能继续有效，否则甲方将终止合同。</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highlight w:val="none"/>
        </w:rPr>
      </w:pPr>
      <w:r>
        <w:rPr>
          <w:rFonts w:hint="eastAsia" w:hAnsi="宋体"/>
          <w:color w:val="auto"/>
          <w:sz w:val="24"/>
          <w:szCs w:val="24"/>
          <w:highlight w:val="none"/>
          <w:lang w:val="en-US" w:eastAsia="zh-CN"/>
        </w:rPr>
        <w:t>3.本合同终止后，乙方提交履约保证金退还申请后7个工作日内，甲方将履约保证金全额无息汇入乙方。</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宋体" w:eastAsia="宋体" w:cs="宋体"/>
          <w:b/>
          <w:color w:val="auto"/>
          <w:sz w:val="24"/>
          <w:szCs w:val="24"/>
          <w:highlight w:val="none"/>
          <w:lang w:val="en-US" w:eastAsia="zh-CN"/>
        </w:rPr>
      </w:pPr>
      <w:r>
        <w:rPr>
          <w:rFonts w:hint="eastAsia" w:ascii="Times New Roman" w:hAnsi="宋体" w:eastAsia="宋体" w:cs="宋体"/>
          <w:b/>
          <w:color w:val="auto"/>
          <w:sz w:val="24"/>
          <w:szCs w:val="24"/>
          <w:highlight w:val="none"/>
          <w:lang w:val="en-US" w:eastAsia="zh-CN"/>
        </w:rPr>
        <w:t>七、相关权利及义务</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1.甲方在验收时对不符合质量要求的产品有权拒绝接收和追究违约责任。 </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2.甲方在合同规定期限内履行付款责任。</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3.甲方对乙方的技术及商业机密予以保密。</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4.甲方有义务并指派专人积极配合乙方进行交货及（如有）安装调试工作。</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指派人员：          电话：                                    </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5.乙方有权按照合同约定要求甲方及时支付相应合同款项。</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6.乙方有义务提供良好的售后服务。 </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7.乙方有义务提供符合标准的货物并对提供的货物承担质量保证责任。</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8.乙方须指派专人负责与甲方联系售后服务事宜。</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 xml:space="preserve">指派人员：           电话：                            </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宋体" w:eastAsia="宋体" w:cs="宋体"/>
          <w:b/>
          <w:color w:val="auto"/>
          <w:sz w:val="24"/>
          <w:szCs w:val="24"/>
          <w:highlight w:val="none"/>
          <w:lang w:val="en-US" w:eastAsia="zh-CN"/>
        </w:rPr>
      </w:pPr>
      <w:r>
        <w:rPr>
          <w:rFonts w:hint="eastAsia" w:ascii="Times New Roman" w:hAnsi="宋体" w:eastAsia="宋体" w:cs="宋体"/>
          <w:b/>
          <w:color w:val="auto"/>
          <w:sz w:val="24"/>
          <w:szCs w:val="24"/>
          <w:highlight w:val="none"/>
          <w:lang w:val="en-US" w:eastAsia="zh-CN"/>
        </w:rPr>
        <w:t>八、合同变更、解除和终止</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default"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1、任意一方就合同履行有变更，应与相对方协商一致，签署补充协议。</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2、出现下列情形的，相对方有权解除合同，符合第八条约定的，有要求对方承担违约责任：</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（1）双方协商一致；</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（2）因不可抗力致使合同无法履行；</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（3）因甲方不按约支付货款，经乙方催告后15天仍不支付；</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（4）因乙方不按约提供货物或更换合格货物，经甲方催告后仍不履行的；</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（5）一方明示或者以行为默示方式，表明不履行合同约定的。</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（6）其他违反合同约定行为，导致合同目的不能实现，经相对方催告后仍不履行的。</w:t>
      </w:r>
    </w:p>
    <w:p>
      <w:pPr>
        <w:pStyle w:val="2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hAnsi="宋体"/>
          <w:color w:val="auto"/>
          <w:highlight w:val="none"/>
          <w:lang w:val="en-US" w:eastAsia="zh-CN"/>
        </w:rPr>
      </w:pPr>
      <w:r>
        <w:rPr>
          <w:rFonts w:hint="eastAsia" w:ascii="Times New Roman" w:hAnsi="宋体" w:eastAsia="宋体" w:cs="宋体"/>
          <w:color w:val="auto"/>
          <w:highlight w:val="none"/>
          <w:lang w:val="en-US" w:eastAsia="zh-CN"/>
        </w:rPr>
        <w:t>3、双方履行完本合同约定义务后，本合同终止。</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九</w:t>
      </w:r>
      <w:r>
        <w:rPr>
          <w:rFonts w:hint="eastAsia" w:hAnsi="宋体"/>
          <w:b/>
          <w:color w:val="auto"/>
          <w:sz w:val="24"/>
          <w:szCs w:val="24"/>
          <w:highlight w:val="none"/>
        </w:rPr>
        <w:t>、违约责任</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1、甲方违约责任</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default" w:hAnsi="宋体" w:eastAsia="宋体"/>
          <w:color w:val="auto"/>
          <w:sz w:val="24"/>
          <w:szCs w:val="24"/>
          <w:highlight w:val="none"/>
          <w:lang w:val="en-US" w:eastAsia="zh-CN"/>
        </w:rPr>
      </w:pPr>
      <w:r>
        <w:rPr>
          <w:rFonts w:hint="eastAsia" w:hAnsi="宋体"/>
          <w:color w:val="auto"/>
          <w:sz w:val="24"/>
          <w:szCs w:val="24"/>
          <w:highlight w:val="none"/>
        </w:rPr>
        <w:t>（1） 甲方无正当理由拒收货物的，甲方应偿付合同总价</w:t>
      </w:r>
      <w:r>
        <w:rPr>
          <w:rFonts w:hint="eastAsia" w:hAnsi="宋体"/>
          <w:color w:val="auto"/>
          <w:sz w:val="24"/>
          <w:szCs w:val="24"/>
          <w:highlight w:val="none"/>
          <w:u w:val="single"/>
          <w:lang w:val="en-US" w:eastAsia="zh-CN"/>
        </w:rPr>
        <w:t>5％</w:t>
      </w:r>
      <w:r>
        <w:rPr>
          <w:rFonts w:hint="eastAsia" w:hAnsi="宋体"/>
          <w:color w:val="auto"/>
          <w:sz w:val="24"/>
          <w:szCs w:val="24"/>
          <w:highlight w:val="none"/>
        </w:rPr>
        <w:t>的违约金；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最高不超过未付合同金额的20%</w:t>
      </w:r>
      <w:r>
        <w:rPr>
          <w:rFonts w:hint="eastAsia" w:hAnsi="宋体"/>
          <w:color w:val="auto"/>
          <w:sz w:val="24"/>
          <w:szCs w:val="24"/>
          <w:highlight w:val="none"/>
          <w:lang w:eastAsia="zh-CN"/>
        </w:rPr>
        <w:t>；逾期付款超过</w:t>
      </w:r>
      <w:r>
        <w:rPr>
          <w:rFonts w:hint="eastAsia" w:hAnsi="宋体"/>
          <w:color w:val="auto"/>
          <w:sz w:val="24"/>
          <w:szCs w:val="24"/>
          <w:highlight w:val="none"/>
          <w:lang w:val="en-US" w:eastAsia="zh-CN"/>
        </w:rPr>
        <w:t>7天的，乙方有权解除合同；</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（2） 甲方逾期支付货款的，应向乙方偿付欠款总额</w:t>
      </w:r>
      <w:r>
        <w:rPr>
          <w:rFonts w:hint="eastAsia" w:hAnsi="宋体"/>
          <w:color w:val="auto"/>
          <w:sz w:val="24"/>
          <w:szCs w:val="24"/>
          <w:highlight w:val="none"/>
          <w:u w:val="single"/>
          <w:lang w:val="en-US" w:eastAsia="zh-CN"/>
        </w:rPr>
        <w:t xml:space="preserve"> 千</w:t>
      </w:r>
      <w:r>
        <w:rPr>
          <w:rFonts w:hint="eastAsia" w:hAnsi="宋体"/>
          <w:color w:val="auto"/>
          <w:sz w:val="24"/>
          <w:szCs w:val="24"/>
          <w:highlight w:val="none"/>
          <w:u w:val="single"/>
        </w:rPr>
        <w:t>分之</w:t>
      </w:r>
      <w:r>
        <w:rPr>
          <w:rFonts w:hint="eastAsia" w:hAnsi="宋体"/>
          <w:color w:val="auto"/>
          <w:sz w:val="24"/>
          <w:szCs w:val="24"/>
          <w:highlight w:val="none"/>
          <w:u w:val="single"/>
          <w:lang w:val="en-US" w:eastAsia="zh-CN"/>
        </w:rPr>
        <w:t xml:space="preserve">一 </w:t>
      </w:r>
      <w:r>
        <w:rPr>
          <w:rFonts w:hint="eastAsia" w:hAnsi="宋体"/>
          <w:color w:val="auto"/>
          <w:sz w:val="24"/>
          <w:szCs w:val="24"/>
          <w:highlight w:val="none"/>
        </w:rPr>
        <w:t>/天的违约金，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最高不超过未付合同金额的20%；逾期付款超过</w:t>
      </w:r>
      <w:r>
        <w:rPr>
          <w:rFonts w:hint="eastAsia" w:hAnsi="宋体"/>
          <w:color w:val="auto"/>
          <w:sz w:val="24"/>
          <w:szCs w:val="24"/>
          <w:highlight w:val="none"/>
          <w:u w:val="single"/>
          <w:lang w:val="en-US" w:eastAsia="zh-CN"/>
        </w:rPr>
        <w:t>20</w:t>
      </w:r>
      <w:r>
        <w:rPr>
          <w:rFonts w:hint="eastAsia" w:hAnsi="宋体"/>
          <w:color w:val="auto"/>
          <w:sz w:val="24"/>
          <w:szCs w:val="24"/>
          <w:highlight w:val="none"/>
        </w:rPr>
        <w:t>天的，乙方有权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rPr>
        <w:t>（3） 甲方偿付的违约金不足以弥补乙方</w:t>
      </w:r>
      <w:r>
        <w:rPr>
          <w:rFonts w:hint="eastAsia" w:hAnsi="宋体"/>
          <w:color w:val="auto"/>
          <w:sz w:val="24"/>
          <w:szCs w:val="24"/>
          <w:highlight w:val="none"/>
          <w:lang w:eastAsia="zh-CN"/>
        </w:rPr>
        <w:t>直接经济</w:t>
      </w:r>
      <w:r>
        <w:rPr>
          <w:rFonts w:hint="eastAsia" w:hAnsi="宋体"/>
          <w:color w:val="auto"/>
          <w:sz w:val="24"/>
          <w:szCs w:val="24"/>
          <w:highlight w:val="none"/>
        </w:rPr>
        <w:t>损失的，还应按乙方</w:t>
      </w:r>
      <w:r>
        <w:rPr>
          <w:rFonts w:hint="eastAsia" w:hAnsi="宋体"/>
          <w:color w:val="auto"/>
          <w:sz w:val="24"/>
          <w:szCs w:val="24"/>
          <w:highlight w:val="none"/>
          <w:lang w:eastAsia="zh-CN"/>
        </w:rPr>
        <w:t>直接经济</w:t>
      </w:r>
      <w:r>
        <w:rPr>
          <w:rFonts w:hint="eastAsia" w:hAnsi="宋体"/>
          <w:color w:val="auto"/>
          <w:sz w:val="24"/>
          <w:szCs w:val="24"/>
          <w:highlight w:val="none"/>
        </w:rPr>
        <w:t>损失尚未弥补的部分，支付赔偿金给乙方。</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2、乙方违约责任</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（1）乙方交付的货物质量不符合合同规定的，乙方应向甲方支付合同总价</w:t>
      </w:r>
      <w:r>
        <w:rPr>
          <w:rFonts w:hint="eastAsia" w:hAnsi="宋体"/>
          <w:color w:val="auto"/>
          <w:sz w:val="24"/>
          <w:szCs w:val="24"/>
          <w:highlight w:val="none"/>
          <w:u w:val="single"/>
          <w:lang w:val="en-US" w:eastAsia="zh-CN"/>
        </w:rPr>
        <w:t>5％</w:t>
      </w:r>
      <w:r>
        <w:rPr>
          <w:rFonts w:hint="eastAsia" w:hAnsi="宋体"/>
          <w:color w:val="auto"/>
          <w:sz w:val="24"/>
          <w:szCs w:val="24"/>
          <w:highlight w:val="none"/>
        </w:rPr>
        <w:t>的违约金，并须在合同规定的交货时间内更换合格的货物给甲方，否则，甲方有权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eastAsia="zh-CN"/>
        </w:rPr>
      </w:pPr>
      <w:r>
        <w:rPr>
          <w:rFonts w:hint="eastAsia" w:hAnsi="宋体"/>
          <w:color w:val="auto"/>
          <w:sz w:val="24"/>
          <w:szCs w:val="24"/>
          <w:highlight w:val="none"/>
        </w:rPr>
        <w:t>（2）乙方逾期交付货物而违约的</w:t>
      </w:r>
      <w:r>
        <w:rPr>
          <w:rFonts w:hint="eastAsia" w:hAnsi="宋体"/>
          <w:color w:val="auto"/>
          <w:sz w:val="24"/>
          <w:szCs w:val="24"/>
          <w:highlight w:val="none"/>
          <w:lang w:eastAsia="zh-CN"/>
        </w:rPr>
        <w:t>，乙方应按</w:t>
      </w:r>
      <w:r>
        <w:rPr>
          <w:rFonts w:hint="eastAsia" w:hAnsi="宋体"/>
          <w:color w:val="auto"/>
          <w:sz w:val="24"/>
          <w:szCs w:val="24"/>
          <w:highlight w:val="none"/>
        </w:rPr>
        <w:t>逾期交货总额</w:t>
      </w:r>
      <w:r>
        <w:rPr>
          <w:rFonts w:hint="eastAsia" w:hAnsi="宋体"/>
          <w:color w:val="auto"/>
          <w:sz w:val="24"/>
          <w:szCs w:val="24"/>
          <w:highlight w:val="none"/>
          <w:lang w:eastAsia="zh-CN"/>
        </w:rPr>
        <w:t>每日</w:t>
      </w:r>
      <w:r>
        <w:rPr>
          <w:rFonts w:hint="eastAsia" w:hAnsi="宋体"/>
          <w:color w:val="auto"/>
          <w:sz w:val="24"/>
          <w:szCs w:val="24"/>
          <w:highlight w:val="none"/>
          <w:u w:val="single"/>
          <w:lang w:val="en-US" w:eastAsia="zh-CN"/>
        </w:rPr>
        <w:t>5％</w:t>
      </w:r>
      <w:r>
        <w:rPr>
          <w:rFonts w:hint="eastAsia" w:hAnsi="宋体"/>
          <w:color w:val="auto"/>
          <w:sz w:val="24"/>
          <w:szCs w:val="24"/>
          <w:highlight w:val="none"/>
          <w:lang w:eastAsia="zh-CN"/>
        </w:rPr>
        <w:t>向甲方支付</w:t>
      </w:r>
      <w:r>
        <w:rPr>
          <w:rFonts w:hint="eastAsia" w:hAnsi="宋体"/>
          <w:color w:val="auto"/>
          <w:sz w:val="24"/>
          <w:szCs w:val="24"/>
          <w:highlight w:val="none"/>
        </w:rPr>
        <w:t>违约金</w:t>
      </w:r>
      <w:r>
        <w:rPr>
          <w:rFonts w:hint="eastAsia" w:hAnsi="宋体"/>
          <w:color w:val="auto"/>
          <w:sz w:val="24"/>
          <w:szCs w:val="24"/>
          <w:highlight w:val="none"/>
          <w:lang w:eastAsia="zh-CN"/>
        </w:rPr>
        <w:t>，累计</w:t>
      </w:r>
      <w:r>
        <w:rPr>
          <w:rFonts w:hint="eastAsia" w:hAnsi="宋体"/>
          <w:color w:val="auto"/>
          <w:sz w:val="24"/>
          <w:szCs w:val="24"/>
          <w:highlight w:val="none"/>
        </w:rPr>
        <w:t>最高不超过合同</w:t>
      </w:r>
      <w:r>
        <w:rPr>
          <w:rFonts w:hint="eastAsia" w:hAnsi="宋体"/>
          <w:color w:val="auto"/>
          <w:sz w:val="24"/>
          <w:szCs w:val="24"/>
          <w:highlight w:val="none"/>
          <w:lang w:eastAsia="zh-CN"/>
        </w:rPr>
        <w:t>总价</w:t>
      </w:r>
      <w:r>
        <w:rPr>
          <w:rFonts w:hint="eastAsia" w:hAnsi="宋体"/>
          <w:color w:val="auto"/>
          <w:sz w:val="24"/>
          <w:szCs w:val="24"/>
          <w:highlight w:val="none"/>
        </w:rPr>
        <w:t>的20%；逾期交货超过7天，甲方有权</w:t>
      </w:r>
      <w:r>
        <w:rPr>
          <w:rFonts w:hint="eastAsia" w:hAnsi="宋体"/>
          <w:color w:val="auto"/>
          <w:sz w:val="24"/>
          <w:szCs w:val="24"/>
          <w:highlight w:val="none"/>
          <w:lang w:eastAsia="zh-CN"/>
        </w:rPr>
        <w:t>解除</w:t>
      </w:r>
      <w:r>
        <w:rPr>
          <w:rFonts w:hint="eastAsia" w:hAnsi="宋体"/>
          <w:color w:val="auto"/>
          <w:sz w:val="24"/>
          <w:szCs w:val="24"/>
          <w:highlight w:val="none"/>
        </w:rPr>
        <w:t>合同，乙方则应按合同总价</w:t>
      </w:r>
      <w:r>
        <w:rPr>
          <w:rFonts w:hint="eastAsia" w:hAnsi="宋体"/>
          <w:color w:val="auto"/>
          <w:sz w:val="24"/>
          <w:szCs w:val="24"/>
          <w:highlight w:val="none"/>
          <w:lang w:eastAsia="zh-CN"/>
        </w:rPr>
        <w:t>款</w:t>
      </w:r>
      <w:r>
        <w:rPr>
          <w:rFonts w:hint="eastAsia" w:hAnsi="宋体"/>
          <w:color w:val="auto"/>
          <w:sz w:val="24"/>
          <w:szCs w:val="24"/>
          <w:highlight w:val="none"/>
        </w:rPr>
        <w:t>的</w:t>
      </w:r>
      <w:r>
        <w:rPr>
          <w:rFonts w:hint="eastAsia" w:hAnsi="宋体"/>
          <w:color w:val="auto"/>
          <w:sz w:val="24"/>
          <w:szCs w:val="24"/>
          <w:highlight w:val="none"/>
          <w:u w:val="single"/>
          <w:lang w:val="en-US" w:eastAsia="zh-CN"/>
        </w:rPr>
        <w:t>20％</w:t>
      </w:r>
      <w:r>
        <w:rPr>
          <w:rFonts w:hint="eastAsia" w:hAnsi="宋体"/>
          <w:color w:val="auto"/>
          <w:sz w:val="24"/>
          <w:szCs w:val="24"/>
          <w:highlight w:val="none"/>
        </w:rPr>
        <w:t>向甲方偿付</w:t>
      </w:r>
      <w:r>
        <w:rPr>
          <w:rFonts w:hint="eastAsia" w:hAnsi="宋体"/>
          <w:color w:val="auto"/>
          <w:sz w:val="24"/>
          <w:szCs w:val="24"/>
          <w:highlight w:val="none"/>
          <w:lang w:eastAsia="zh-CN"/>
        </w:rPr>
        <w:t>违约</w:t>
      </w:r>
      <w:r>
        <w:rPr>
          <w:rFonts w:hint="eastAsia" w:hAnsi="宋体"/>
          <w:color w:val="auto"/>
          <w:sz w:val="24"/>
          <w:szCs w:val="24"/>
          <w:highlight w:val="none"/>
        </w:rPr>
        <w:t>金</w:t>
      </w:r>
      <w:r>
        <w:rPr>
          <w:rFonts w:hint="eastAsia" w:hAnsi="宋体"/>
          <w:color w:val="auto"/>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（3）乙方逾期不能交付货物的，乙方则应向甲方按合同总价款的</w:t>
      </w:r>
      <w:r>
        <w:rPr>
          <w:rFonts w:hint="eastAsia" w:hAnsi="宋体"/>
          <w:color w:val="auto"/>
          <w:sz w:val="24"/>
          <w:szCs w:val="24"/>
          <w:highlight w:val="none"/>
          <w:u w:val="single"/>
          <w:lang w:val="en-US" w:eastAsia="zh-CN"/>
        </w:rPr>
        <w:t xml:space="preserve"> 20％</w:t>
      </w:r>
      <w:r>
        <w:rPr>
          <w:rFonts w:hint="eastAsia" w:hAnsi="宋体"/>
          <w:color w:val="auto"/>
          <w:sz w:val="24"/>
          <w:szCs w:val="24"/>
          <w:highlight w:val="none"/>
        </w:rPr>
        <w:t>支付违约金，甲方有权</w:t>
      </w:r>
      <w:r>
        <w:rPr>
          <w:rFonts w:hint="eastAsia" w:hAnsi="宋体"/>
          <w:color w:val="auto"/>
          <w:sz w:val="24"/>
          <w:szCs w:val="24"/>
          <w:highlight w:val="none"/>
          <w:lang w:eastAsia="zh-CN"/>
        </w:rPr>
        <w:t>解除</w:t>
      </w:r>
      <w:r>
        <w:rPr>
          <w:rFonts w:hint="eastAsia" w:hAnsi="宋体"/>
          <w:color w:val="auto"/>
          <w:sz w:val="24"/>
          <w:szCs w:val="24"/>
          <w:highlight w:val="none"/>
        </w:rPr>
        <w:t>合同。</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val="en-US" w:eastAsia="zh-CN"/>
        </w:rPr>
        <w:t>4</w:t>
      </w:r>
      <w:r>
        <w:rPr>
          <w:rFonts w:hint="eastAsia" w:hAnsi="宋体"/>
          <w:color w:val="auto"/>
          <w:sz w:val="24"/>
          <w:szCs w:val="24"/>
          <w:highlight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olor w:val="auto"/>
          <w:sz w:val="24"/>
          <w:szCs w:val="24"/>
          <w:highlight w:val="none"/>
          <w:u w:val="single"/>
          <w:lang w:val="en-US" w:eastAsia="zh-CN"/>
        </w:rPr>
        <w:t>5％</w:t>
      </w:r>
      <w:r>
        <w:rPr>
          <w:rFonts w:hint="eastAsia" w:hAnsi="宋体"/>
          <w:color w:val="auto"/>
          <w:sz w:val="24"/>
          <w:szCs w:val="24"/>
          <w:highlight w:val="none"/>
        </w:rPr>
        <w:t>向甲方支付违约金并赔偿因此给甲方造成的一切损失。</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val="en-US" w:eastAsia="zh-CN"/>
        </w:rPr>
        <w:t>5</w:t>
      </w:r>
      <w:r>
        <w:rPr>
          <w:rFonts w:hint="eastAsia" w:hAnsi="宋体"/>
          <w:color w:val="auto"/>
          <w:sz w:val="24"/>
          <w:szCs w:val="24"/>
          <w:highlight w:val="none"/>
        </w:rPr>
        <w:t>）乙方偿付的违约金不足以弥补甲方损失的，还应按甲方损失尚未弥补的部分，支付赔偿金给甲方。</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eastAsia="zh-CN"/>
        </w:rPr>
        <w:t>如有履约保证金的，乙方同意以上违约金甲方从履约保证金中扣除。若无乙方同意从代付款中先行扣除。</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szCs w:val="24"/>
          <w:highlight w:val="none"/>
        </w:rPr>
      </w:pPr>
      <w:r>
        <w:rPr>
          <w:rFonts w:hint="eastAsia" w:hAnsi="宋体"/>
          <w:b/>
          <w:color w:val="auto"/>
          <w:sz w:val="24"/>
          <w:szCs w:val="24"/>
          <w:highlight w:val="none"/>
          <w:lang w:eastAsia="zh-CN"/>
        </w:rPr>
        <w:t>十、</w:t>
      </w:r>
      <w:r>
        <w:rPr>
          <w:rFonts w:hint="eastAsia" w:hAnsi="宋体"/>
          <w:b/>
          <w:color w:val="auto"/>
          <w:sz w:val="24"/>
          <w:szCs w:val="24"/>
          <w:highlight w:val="none"/>
        </w:rPr>
        <w:t>不可抗力</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val="en-US" w:eastAsia="zh-CN"/>
        </w:rPr>
        <w:t>1.</w:t>
      </w:r>
      <w:r>
        <w:rPr>
          <w:rFonts w:hint="eastAsia" w:hAnsi="宋体"/>
          <w:color w:val="auto"/>
          <w:sz w:val="24"/>
          <w:szCs w:val="24"/>
          <w:highlight w:val="none"/>
        </w:rPr>
        <w:t>由于不可抗力的原因不能履行合同时，</w:t>
      </w:r>
      <w:r>
        <w:rPr>
          <w:rFonts w:hint="eastAsia" w:hAnsi="宋体"/>
          <w:color w:val="auto"/>
          <w:sz w:val="24"/>
          <w:szCs w:val="24"/>
          <w:highlight w:val="none"/>
          <w:lang w:eastAsia="zh-CN"/>
        </w:rPr>
        <w:t>双方互不负违约责任。因不可抗力不能履行一方</w:t>
      </w:r>
      <w:r>
        <w:rPr>
          <w:rFonts w:hint="eastAsia" w:hAnsi="宋体"/>
          <w:color w:val="auto"/>
          <w:sz w:val="24"/>
          <w:szCs w:val="24"/>
          <w:highlight w:val="none"/>
        </w:rPr>
        <w:t>应及时向</w:t>
      </w:r>
      <w:r>
        <w:rPr>
          <w:rFonts w:hint="eastAsia" w:hAnsi="宋体"/>
          <w:color w:val="auto"/>
          <w:sz w:val="24"/>
          <w:szCs w:val="24"/>
          <w:highlight w:val="none"/>
          <w:lang w:eastAsia="zh-CN"/>
        </w:rPr>
        <w:t>另一方</w:t>
      </w:r>
      <w:r>
        <w:rPr>
          <w:rFonts w:hint="eastAsia" w:hAnsi="宋体"/>
          <w:color w:val="auto"/>
          <w:sz w:val="24"/>
          <w:szCs w:val="24"/>
          <w:highlight w:val="none"/>
        </w:rPr>
        <w:t>通报不能履行或不能完全履行的理由</w:t>
      </w:r>
      <w:r>
        <w:rPr>
          <w:rFonts w:hint="eastAsia" w:hAnsi="宋体"/>
          <w:color w:val="auto"/>
          <w:sz w:val="24"/>
          <w:szCs w:val="24"/>
          <w:highlight w:val="none"/>
          <w:lang w:eastAsia="zh-CN"/>
        </w:rPr>
        <w:t>，并向另一方提交经当地公证处公证的不可抗力事件文书。</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rPr>
      </w:pPr>
      <w:r>
        <w:rPr>
          <w:rFonts w:hint="eastAsia" w:hAnsi="宋体"/>
          <w:color w:val="auto"/>
          <w:sz w:val="24"/>
          <w:szCs w:val="24"/>
          <w:highlight w:val="none"/>
          <w:lang w:val="en-US" w:eastAsia="zh-CN"/>
        </w:rPr>
        <w:t>2.</w:t>
      </w:r>
      <w:r>
        <w:rPr>
          <w:rFonts w:hint="eastAsia" w:hAnsi="宋体"/>
          <w:color w:val="auto"/>
          <w:sz w:val="24"/>
          <w:szCs w:val="24"/>
          <w:highlight w:val="none"/>
        </w:rPr>
        <w:t>乙方由于不可抗力的原因不能履行合同时，应在交货时间到期以前及时向甲方通报不能履行或不能完全履行的理由</w:t>
      </w:r>
      <w:r>
        <w:rPr>
          <w:rFonts w:hint="eastAsia" w:hAnsi="宋体"/>
          <w:color w:val="auto"/>
          <w:sz w:val="24"/>
          <w:szCs w:val="24"/>
          <w:highlight w:val="none"/>
          <w:lang w:eastAsia="zh-CN"/>
        </w:rPr>
        <w:t>，提供公证文书，</w:t>
      </w:r>
      <w:r>
        <w:rPr>
          <w:rFonts w:hint="eastAsia" w:hAnsi="宋体"/>
          <w:color w:val="auto"/>
          <w:sz w:val="24"/>
          <w:szCs w:val="24"/>
          <w:highlight w:val="none"/>
        </w:rPr>
        <w:t>双方可以签订延期履行、部分履行补充合同或者不履行合同。</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eastAsia="宋体"/>
          <w:b/>
          <w:color w:val="auto"/>
          <w:sz w:val="24"/>
          <w:szCs w:val="24"/>
          <w:highlight w:val="none"/>
          <w:lang w:eastAsia="zh-CN"/>
        </w:rPr>
      </w:pPr>
      <w:r>
        <w:rPr>
          <w:rFonts w:hint="eastAsia" w:hAnsi="宋体"/>
          <w:b/>
          <w:color w:val="auto"/>
          <w:sz w:val="24"/>
          <w:szCs w:val="24"/>
          <w:highlight w:val="none"/>
          <w:lang w:eastAsia="zh-CN"/>
        </w:rPr>
        <w:t>十一</w:t>
      </w:r>
      <w:r>
        <w:rPr>
          <w:rFonts w:hint="eastAsia" w:hAnsi="宋体"/>
          <w:b/>
          <w:color w:val="auto"/>
          <w:sz w:val="24"/>
          <w:szCs w:val="24"/>
          <w:highlight w:val="none"/>
        </w:rPr>
        <w:t>、争议</w:t>
      </w:r>
      <w:r>
        <w:rPr>
          <w:rFonts w:hint="eastAsia" w:hAnsi="宋体"/>
          <w:b/>
          <w:color w:val="auto"/>
          <w:sz w:val="24"/>
          <w:szCs w:val="24"/>
          <w:highlight w:val="none"/>
          <w:lang w:eastAsia="zh-CN"/>
        </w:rPr>
        <w:t>解决</w:t>
      </w:r>
    </w:p>
    <w:p>
      <w:pPr>
        <w:pStyle w:val="2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Ansi="宋体" w:cs="Times New Roman"/>
          <w:color w:val="auto"/>
          <w:highlight w:val="none"/>
        </w:rPr>
      </w:pPr>
      <w:r>
        <w:rPr>
          <w:rFonts w:hAnsi="宋体" w:cs="Times New Roman"/>
          <w:color w:val="auto"/>
          <w:highlight w:val="none"/>
        </w:rPr>
        <w:t>1</w:t>
      </w:r>
      <w:r>
        <w:rPr>
          <w:rFonts w:hint="eastAsia" w:hAnsi="宋体" w:cs="Times New Roman"/>
          <w:color w:val="auto"/>
          <w:highlight w:val="none"/>
          <w:lang w:val="en-US" w:eastAsia="zh-CN"/>
        </w:rPr>
        <w:t>.</w:t>
      </w:r>
      <w:r>
        <w:rPr>
          <w:rFonts w:hint="eastAsia" w:hAnsi="宋体" w:cs="Times New Roman"/>
          <w:color w:val="auto"/>
          <w:highlight w:val="none"/>
        </w:rPr>
        <w:t>因货物的质量问题发生争议，由</w:t>
      </w:r>
      <w:r>
        <w:rPr>
          <w:rFonts w:hint="eastAsia" w:hAnsi="宋体"/>
          <w:color w:val="auto"/>
          <w:highlight w:val="none"/>
        </w:rPr>
        <w:t>具有法定资格条件的质量技术监督机构</w:t>
      </w:r>
      <w:r>
        <w:rPr>
          <w:rFonts w:hint="eastAsia" w:hAnsi="宋体" w:cs="Times New Roman"/>
          <w:color w:val="auto"/>
          <w:highlight w:val="none"/>
        </w:rPr>
        <w:t>进行质量鉴定。货物符合标准的，鉴定费由甲方承担；货物不符合质量标准的，鉴定费由乙方承担。</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Ansi="宋体"/>
          <w:color w:val="auto"/>
          <w:sz w:val="24"/>
          <w:szCs w:val="24"/>
          <w:highlight w:val="none"/>
        </w:rPr>
        <w:t>2</w:t>
      </w:r>
      <w:r>
        <w:rPr>
          <w:rFonts w:hint="eastAsia" w:hAnsi="宋体"/>
          <w:color w:val="auto"/>
          <w:sz w:val="24"/>
          <w:szCs w:val="24"/>
          <w:highlight w:val="none"/>
          <w:lang w:val="en-US" w:eastAsia="zh-CN"/>
        </w:rPr>
        <w:t>.</w:t>
      </w:r>
      <w:r>
        <w:rPr>
          <w:rFonts w:hint="eastAsia" w:hAnsi="宋体"/>
          <w:color w:val="auto"/>
          <w:sz w:val="24"/>
          <w:szCs w:val="24"/>
          <w:highlight w:val="none"/>
        </w:rPr>
        <w:t>合同履行期间</w:t>
      </w:r>
      <w:r>
        <w:rPr>
          <w:rFonts w:hAnsi="宋体"/>
          <w:color w:val="auto"/>
          <w:sz w:val="24"/>
          <w:szCs w:val="24"/>
          <w:highlight w:val="none"/>
        </w:rPr>
        <w:t>,</w:t>
      </w:r>
      <w:r>
        <w:rPr>
          <w:rFonts w:hint="eastAsia" w:hAnsi="宋体"/>
          <w:color w:val="auto"/>
          <w:sz w:val="24"/>
          <w:szCs w:val="24"/>
          <w:highlight w:val="none"/>
        </w:rPr>
        <w:t>若双方发生争议，双方本着友好合作的态度，对合同履行过程中发生的违约行为进行及时的协商解决，如不能协商解决</w:t>
      </w:r>
      <w:r>
        <w:rPr>
          <w:rFonts w:hint="eastAsia" w:hAnsi="宋体"/>
          <w:color w:val="auto"/>
          <w:sz w:val="24"/>
          <w:szCs w:val="24"/>
          <w:highlight w:val="none"/>
          <w:lang w:eastAsia="zh-CN"/>
        </w:rPr>
        <w:t>可采取</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lang w:eastAsia="zh-CN"/>
        </w:rPr>
        <w:t>（</w:t>
      </w:r>
      <w:r>
        <w:rPr>
          <w:rFonts w:hint="eastAsia" w:hAnsi="宋体"/>
          <w:color w:val="auto"/>
          <w:sz w:val="24"/>
          <w:szCs w:val="24"/>
          <w:highlight w:val="none"/>
          <w:u w:val="single"/>
          <w:lang w:val="en-US" w:eastAsia="zh-CN"/>
        </w:rPr>
        <w:t>1</w:t>
      </w:r>
      <w:r>
        <w:rPr>
          <w:rFonts w:hint="eastAsia" w:hAnsi="宋体"/>
          <w:color w:val="auto"/>
          <w:sz w:val="24"/>
          <w:szCs w:val="24"/>
          <w:highlight w:val="none"/>
          <w:u w:val="single"/>
          <w:lang w:eastAsia="zh-CN"/>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方式解决。</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szCs w:val="24"/>
          <w:highlight w:val="none"/>
        </w:rPr>
      </w:pPr>
      <w:r>
        <w:rPr>
          <w:rFonts w:hint="eastAsia" w:hAnsi="宋体"/>
          <w:color w:val="auto"/>
          <w:sz w:val="24"/>
          <w:szCs w:val="24"/>
          <w:highlight w:val="none"/>
          <w:lang w:eastAsia="zh-CN"/>
        </w:rPr>
        <w:t>（</w:t>
      </w:r>
      <w:r>
        <w:rPr>
          <w:rFonts w:hint="eastAsia" w:hAnsi="宋体"/>
          <w:color w:val="auto"/>
          <w:sz w:val="24"/>
          <w:szCs w:val="24"/>
          <w:highlight w:val="none"/>
          <w:lang w:val="en-US" w:eastAsia="zh-CN"/>
        </w:rPr>
        <w:t>1</w:t>
      </w:r>
      <w:r>
        <w:rPr>
          <w:rFonts w:hint="eastAsia" w:hAnsi="宋体"/>
          <w:color w:val="auto"/>
          <w:sz w:val="24"/>
          <w:szCs w:val="24"/>
          <w:highlight w:val="none"/>
          <w:lang w:eastAsia="zh-CN"/>
        </w:rPr>
        <w:t>）向</w:t>
      </w:r>
      <w:r>
        <w:rPr>
          <w:rFonts w:hint="eastAsia" w:hAnsi="宋体"/>
          <w:color w:val="auto"/>
          <w:sz w:val="24"/>
          <w:szCs w:val="24"/>
          <w:highlight w:val="none"/>
        </w:rPr>
        <w:t>甲方所在地法院通过诉讼解决。</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（2）向泸州仲裁委提请仲裁解决。</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eastAsia="宋体"/>
          <w:color w:val="auto"/>
          <w:sz w:val="24"/>
          <w:szCs w:val="24"/>
          <w:highlight w:val="none"/>
          <w:lang w:val="en-US" w:eastAsia="zh-CN"/>
        </w:rPr>
      </w:pPr>
      <w:r>
        <w:rPr>
          <w:rFonts w:hint="eastAsia" w:hAnsi="宋体"/>
          <w:color w:val="auto"/>
          <w:sz w:val="24"/>
          <w:szCs w:val="24"/>
          <w:highlight w:val="none"/>
          <w:lang w:val="en-US" w:eastAsia="zh-CN"/>
        </w:rPr>
        <w:t>3.</w:t>
      </w:r>
      <w:r>
        <w:rPr>
          <w:rFonts w:hint="eastAsia" w:ascii="宋体" w:hAnsi="宋体" w:cs="宋体"/>
          <w:b w:val="0"/>
          <w:i w:val="0"/>
          <w:caps w:val="0"/>
          <w:color w:val="auto"/>
          <w:spacing w:val="0"/>
          <w:sz w:val="24"/>
          <w:szCs w:val="24"/>
          <w:highlight w:val="none"/>
          <w:lang w:eastAsia="zh-CN"/>
        </w:rPr>
        <w:t>因</w:t>
      </w:r>
      <w:r>
        <w:rPr>
          <w:rFonts w:hint="eastAsia" w:hAnsi="宋体" w:cs="宋体"/>
          <w:b w:val="0"/>
          <w:i w:val="0"/>
          <w:caps w:val="0"/>
          <w:color w:val="auto"/>
          <w:spacing w:val="0"/>
          <w:sz w:val="24"/>
          <w:szCs w:val="24"/>
          <w:highlight w:val="none"/>
          <w:lang w:eastAsia="zh-CN"/>
        </w:rPr>
        <w:t>一</w:t>
      </w:r>
      <w:r>
        <w:rPr>
          <w:rFonts w:hint="eastAsia" w:ascii="宋体" w:hAnsi="宋体" w:cs="宋体"/>
          <w:b w:val="0"/>
          <w:i w:val="0"/>
          <w:caps w:val="0"/>
          <w:color w:val="auto"/>
          <w:spacing w:val="0"/>
          <w:sz w:val="24"/>
          <w:szCs w:val="24"/>
          <w:highlight w:val="none"/>
          <w:lang w:eastAsia="zh-CN"/>
        </w:rPr>
        <w:t>方</w:t>
      </w:r>
      <w:r>
        <w:rPr>
          <w:rFonts w:hint="eastAsia" w:hAnsi="宋体" w:cs="宋体"/>
          <w:b w:val="0"/>
          <w:i w:val="0"/>
          <w:caps w:val="0"/>
          <w:color w:val="auto"/>
          <w:spacing w:val="0"/>
          <w:sz w:val="24"/>
          <w:szCs w:val="24"/>
          <w:highlight w:val="none"/>
          <w:lang w:eastAsia="zh-CN"/>
        </w:rPr>
        <w:t>违约</w:t>
      </w:r>
      <w:r>
        <w:rPr>
          <w:rFonts w:hint="eastAsia" w:ascii="宋体" w:hAnsi="宋体" w:eastAsia="宋体" w:cs="宋体"/>
          <w:b w:val="0"/>
          <w:i w:val="0"/>
          <w:caps w:val="0"/>
          <w:color w:val="auto"/>
          <w:spacing w:val="0"/>
          <w:sz w:val="24"/>
          <w:szCs w:val="24"/>
          <w:highlight w:val="none"/>
          <w:lang w:eastAsia="zh-CN"/>
        </w:rPr>
        <w:t>，违约方还应承担由此给相对方造成的一切经济损失，包括但不限于诉讼费、律师费、公告费、鉴定费等。</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highlight w:val="none"/>
        </w:rPr>
      </w:pPr>
      <w:r>
        <w:rPr>
          <w:rFonts w:hint="eastAsia" w:hAnsi="宋体"/>
          <w:b/>
          <w:color w:val="auto"/>
          <w:sz w:val="24"/>
          <w:highlight w:val="none"/>
        </w:rPr>
        <w:t>十</w:t>
      </w:r>
      <w:r>
        <w:rPr>
          <w:rFonts w:hint="eastAsia" w:hAnsi="宋体"/>
          <w:b/>
          <w:color w:val="auto"/>
          <w:sz w:val="24"/>
          <w:highlight w:val="none"/>
          <w:lang w:eastAsia="zh-CN"/>
        </w:rPr>
        <w:t>二</w:t>
      </w:r>
      <w:r>
        <w:rPr>
          <w:rFonts w:hint="eastAsia" w:hAnsi="宋体"/>
          <w:b/>
          <w:color w:val="auto"/>
          <w:sz w:val="24"/>
          <w:highlight w:val="none"/>
        </w:rPr>
        <w:t>、合同标的减少与追加处理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i w:val="0"/>
          <w:caps w:val="0"/>
          <w:color w:val="auto"/>
          <w:spacing w:val="0"/>
          <w:kern w:val="0"/>
          <w:sz w:val="24"/>
          <w:szCs w:val="24"/>
          <w:highlight w:val="none"/>
          <w:lang w:val="en-US" w:eastAsia="zh-CN" w:bidi="ar-SA"/>
        </w:rPr>
      </w:pPr>
      <w:r>
        <w:rPr>
          <w:rFonts w:hint="eastAsia" w:ascii="宋体" w:hAnsi="宋体" w:eastAsia="宋体" w:cs="宋体"/>
          <w:b w:val="0"/>
          <w:i w:val="0"/>
          <w:caps w:val="0"/>
          <w:color w:val="auto"/>
          <w:spacing w:val="0"/>
          <w:kern w:val="0"/>
          <w:sz w:val="24"/>
          <w:szCs w:val="24"/>
          <w:highlight w:val="none"/>
          <w:lang w:val="en-US" w:eastAsia="zh-CN" w:bidi="ar-SA"/>
        </w:rPr>
        <w:t>1.如因在合同履行过程中有变更，存在减少有关产品数量情况，经甲乙双方书面确认同意后，按乙方中标时的固定单价对总价进行调减，并签订补充合同。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i w:val="0"/>
          <w:caps w:val="0"/>
          <w:color w:val="auto"/>
          <w:spacing w:val="0"/>
          <w:kern w:val="0"/>
          <w:sz w:val="24"/>
          <w:szCs w:val="24"/>
          <w:highlight w:val="none"/>
          <w:lang w:val="en-US" w:eastAsia="zh-CN" w:bidi="ar-SA"/>
        </w:rPr>
      </w:pPr>
      <w:r>
        <w:rPr>
          <w:rFonts w:hint="eastAsia" w:ascii="宋体" w:hAnsi="宋体" w:eastAsia="宋体" w:cs="宋体"/>
          <w:b w:val="0"/>
          <w:i w:val="0"/>
          <w:caps w:val="0"/>
          <w:color w:val="auto"/>
          <w:spacing w:val="0"/>
          <w:kern w:val="0"/>
          <w:sz w:val="24"/>
          <w:szCs w:val="24"/>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pPr>
        <w:pStyle w:val="2"/>
        <w:rPr>
          <w:rFonts w:hint="eastAsia" w:ascii="宋体" w:hAnsi="宋体" w:eastAsia="宋体" w:cs="宋体"/>
          <w:b w:val="0"/>
          <w:i w:val="0"/>
          <w:caps w:val="0"/>
          <w:color w:val="auto"/>
          <w:spacing w:val="0"/>
          <w:kern w:val="0"/>
          <w:sz w:val="24"/>
          <w:szCs w:val="24"/>
          <w:highlight w:val="none"/>
          <w:lang w:val="en-US" w:eastAsia="zh-CN" w:bidi="ar-SA"/>
        </w:rPr>
      </w:pPr>
      <w:r>
        <w:rPr>
          <w:rFonts w:hint="eastAsia" w:ascii="宋体" w:hAnsi="宋体" w:eastAsia="宋体" w:cs="宋体"/>
          <w:b w:val="0"/>
          <w:i w:val="0"/>
          <w:caps w:val="0"/>
          <w:color w:val="auto"/>
          <w:spacing w:val="0"/>
          <w:kern w:val="0"/>
          <w:sz w:val="24"/>
          <w:szCs w:val="24"/>
          <w:highlight w:val="none"/>
          <w:lang w:val="en-US" w:eastAsia="zh-CN" w:bidi="ar-SA"/>
        </w:rPr>
        <w:t xml:space="preserve">    3.追加金额不超过本合同金额50 %，超过的甲方应重新按程序选取合作单位。</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hAnsi="宋体"/>
          <w:b/>
          <w:color w:val="auto"/>
          <w:sz w:val="24"/>
          <w:highlight w:val="none"/>
        </w:rPr>
      </w:pPr>
      <w:r>
        <w:rPr>
          <w:rFonts w:hint="eastAsia" w:hAnsi="宋体"/>
          <w:b/>
          <w:color w:val="auto"/>
          <w:sz w:val="24"/>
          <w:highlight w:val="none"/>
        </w:rPr>
        <w:t>十</w:t>
      </w:r>
      <w:r>
        <w:rPr>
          <w:rFonts w:hint="eastAsia" w:hAnsi="宋体"/>
          <w:b/>
          <w:color w:val="auto"/>
          <w:sz w:val="24"/>
          <w:highlight w:val="none"/>
          <w:lang w:eastAsia="zh-CN"/>
        </w:rPr>
        <w:t>三</w:t>
      </w:r>
      <w:r>
        <w:rPr>
          <w:rFonts w:hint="eastAsia" w:hAnsi="宋体"/>
          <w:b/>
          <w:color w:val="auto"/>
          <w:sz w:val="24"/>
          <w:highlight w:val="none"/>
        </w:rPr>
        <w:t>、通知和送达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1</w:t>
      </w:r>
      <w:r>
        <w:rPr>
          <w:rFonts w:hint="eastAsia" w:hAnsi="宋体"/>
          <w:color w:val="auto"/>
          <w:sz w:val="24"/>
          <w:highlight w:val="none"/>
          <w:lang w:val="en-US" w:eastAsia="zh-CN"/>
        </w:rPr>
        <w:t>.</w:t>
      </w:r>
      <w:r>
        <w:rPr>
          <w:rFonts w:hint="eastAsia" w:hAnsi="宋体"/>
          <w:color w:val="auto"/>
          <w:sz w:val="24"/>
          <w:highlight w:val="none"/>
        </w:rPr>
        <w:t>任何一方向对方发出的通知或其他往来文件（以下简称“往来文件”），应按照本条款记载的另一方的联系方式，用特快、挂号信、传真、电子邮件或专人送达方式发出，并在下述条件下送达生效：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 xml:space="preserve"> 同时采用上述几种方式的，以其中最快到达对方的为准。</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480" w:firstLineChars="200"/>
        <w:textAlignment w:val="auto"/>
        <w:outlineLvl w:val="9"/>
        <w:rPr>
          <w:rFonts w:hint="eastAsia" w:hAnsi="宋体"/>
          <w:color w:val="auto"/>
          <w:sz w:val="24"/>
          <w:highlight w:val="none"/>
        </w:rPr>
      </w:pPr>
      <w:r>
        <w:rPr>
          <w:rFonts w:hint="eastAsia" w:hAnsi="宋体"/>
          <w:color w:val="auto"/>
          <w:sz w:val="24"/>
          <w:highlight w:val="none"/>
        </w:rPr>
        <w:t>本条款项下的联系方式发生变更，变更方应及时书面通知另一方。另一方在收到有关变更前的联系方式所发出的往来文件视为有效。</w:t>
      </w:r>
    </w:p>
    <w:p>
      <w:pPr>
        <w:pStyle w:val="2"/>
        <w:numPr>
          <w:ilvl w:val="0"/>
          <w:numId w:val="0"/>
        </w:numPr>
        <w:ind w:firstLine="480" w:firstLineChars="200"/>
        <w:rPr>
          <w:rFonts w:hint="eastAsia" w:eastAsia="宋体"/>
          <w:color w:val="auto"/>
          <w:highlight w:val="none"/>
          <w:lang w:val="en-US" w:eastAsia="zh-CN"/>
        </w:rPr>
      </w:pPr>
      <w:r>
        <w:rPr>
          <w:rFonts w:hint="eastAsia" w:ascii="Times New Roman" w:hAnsi="宋体" w:eastAsia="宋体" w:cs="Times New Roman"/>
          <w:color w:val="auto"/>
          <w:kern w:val="2"/>
          <w:sz w:val="24"/>
          <w:szCs w:val="24"/>
          <w:highlight w:val="none"/>
          <w:lang w:val="en-US" w:eastAsia="zh-CN" w:bidi="ar-SA"/>
        </w:rPr>
        <w:t>3.本合同所载地址也是司法机关司法文书送达地址。</w:t>
      </w:r>
    </w:p>
    <w:p>
      <w:pPr>
        <w:pStyle w:val="5"/>
        <w:spacing w:line="440" w:lineRule="exact"/>
        <w:rPr>
          <w:rFonts w:hint="eastAsia" w:ascii="宋体" w:hAnsi="宋体" w:eastAsia="宋体" w:cs="宋体"/>
          <w:b/>
          <w:bCs/>
          <w:color w:val="auto"/>
          <w:sz w:val="24"/>
          <w:szCs w:val="24"/>
          <w:highlight w:val="none"/>
          <w:lang w:val="en-US" w:eastAsia="zh-CN"/>
        </w:rPr>
      </w:pPr>
      <w:r>
        <w:rPr>
          <w:rFonts w:hint="eastAsia" w:hAnsi="宋体"/>
          <w:b/>
          <w:color w:val="auto"/>
          <w:sz w:val="24"/>
          <w:highlight w:val="none"/>
        </w:rPr>
        <w:t>十</w:t>
      </w:r>
      <w:r>
        <w:rPr>
          <w:rFonts w:hint="eastAsia" w:hAnsi="宋体"/>
          <w:b/>
          <w:color w:val="auto"/>
          <w:sz w:val="24"/>
          <w:highlight w:val="none"/>
          <w:lang w:eastAsia="zh-CN"/>
        </w:rPr>
        <w:t>四</w:t>
      </w:r>
      <w:r>
        <w:rPr>
          <w:rFonts w:hint="eastAsia" w:hAnsi="宋体"/>
          <w:b/>
          <w:color w:val="auto"/>
          <w:sz w:val="24"/>
          <w:highlight w:val="none"/>
        </w:rPr>
        <w:t>、</w:t>
      </w:r>
      <w:r>
        <w:rPr>
          <w:rFonts w:hint="eastAsia" w:ascii="宋体" w:hAnsi="宋体" w:eastAsia="宋体" w:cs="宋体"/>
          <w:b/>
          <w:bCs/>
          <w:color w:val="auto"/>
          <w:sz w:val="24"/>
          <w:szCs w:val="24"/>
          <w:highlight w:val="none"/>
          <w:lang w:val="en-US" w:eastAsia="zh-CN"/>
        </w:rPr>
        <w:t>廉洁条款</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5"/>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b/>
          <w:color w:val="auto"/>
          <w:sz w:val="24"/>
          <w:highlight w:val="none"/>
        </w:rPr>
      </w:pPr>
      <w:r>
        <w:rPr>
          <w:rFonts w:hint="eastAsia" w:hAnsi="宋体"/>
          <w:b/>
          <w:color w:val="auto"/>
          <w:sz w:val="24"/>
          <w:highlight w:val="none"/>
          <w:lang w:eastAsia="zh-CN"/>
        </w:rPr>
        <w:t>十五、</w:t>
      </w:r>
      <w:r>
        <w:rPr>
          <w:rFonts w:hint="eastAsia" w:hAnsi="宋体"/>
          <w:b/>
          <w:color w:val="auto"/>
          <w:sz w:val="24"/>
          <w:highlight w:val="none"/>
        </w:rPr>
        <w:t>其它事项</w:t>
      </w:r>
    </w:p>
    <w:p>
      <w:pPr>
        <w:pStyle w:val="2"/>
        <w:ind w:firstLine="480" w:firstLineChars="200"/>
        <w:rPr>
          <w:rFonts w:hint="default" w:hAnsi="宋体"/>
          <w:color w:val="auto"/>
          <w:sz w:val="24"/>
          <w:highlight w:val="none"/>
          <w:lang w:val="en-US"/>
        </w:rPr>
      </w:pPr>
      <w:r>
        <w:rPr>
          <w:rFonts w:hint="eastAsia" w:hAnsi="宋体"/>
          <w:color w:val="auto"/>
          <w:sz w:val="24"/>
          <w:highlight w:val="none"/>
        </w:rPr>
        <w:t>1</w:t>
      </w:r>
      <w:r>
        <w:rPr>
          <w:rFonts w:hint="eastAsia" w:hAnsi="宋体"/>
          <w:color w:val="auto"/>
          <w:sz w:val="24"/>
          <w:highlight w:val="none"/>
          <w:lang w:val="en-US" w:eastAsia="zh-CN"/>
        </w:rPr>
        <w:t>.</w:t>
      </w:r>
      <w:r>
        <w:rPr>
          <w:rFonts w:hint="eastAsia" w:hAnsi="宋体"/>
          <w:color w:val="auto"/>
          <w:kern w:val="2"/>
          <w:sz w:val="24"/>
          <w:szCs w:val="24"/>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w:t>
      </w:r>
      <w:r>
        <w:rPr>
          <w:rFonts w:hint="eastAsia" w:hAnsi="宋体"/>
          <w:color w:val="auto"/>
          <w:sz w:val="24"/>
          <w:highlight w:val="none"/>
        </w:rPr>
        <w:t>本合同一式</w:t>
      </w:r>
      <w:r>
        <w:rPr>
          <w:rFonts w:hint="eastAsia" w:hAnsi="宋体"/>
          <w:color w:val="auto"/>
          <w:sz w:val="24"/>
          <w:highlight w:val="none"/>
          <w:u w:val="single"/>
          <w:lang w:val="en-US" w:eastAsia="zh-CN"/>
        </w:rPr>
        <w:t xml:space="preserve">      </w:t>
      </w:r>
      <w:r>
        <w:rPr>
          <w:rFonts w:hint="eastAsia" w:hAnsi="宋体"/>
          <w:color w:val="auto"/>
          <w:sz w:val="24"/>
          <w:highlight w:val="none"/>
        </w:rPr>
        <w:t>份，甲方执</w:t>
      </w:r>
      <w:r>
        <w:rPr>
          <w:rFonts w:hint="eastAsia" w:hAnsi="宋体"/>
          <w:color w:val="auto"/>
          <w:sz w:val="24"/>
          <w:highlight w:val="none"/>
          <w:u w:val="single"/>
          <w:lang w:val="en-US" w:eastAsia="zh-CN"/>
        </w:rPr>
        <w:t xml:space="preserve">      </w:t>
      </w:r>
      <w:r>
        <w:rPr>
          <w:rFonts w:hint="eastAsia" w:hAnsi="宋体"/>
          <w:color w:val="auto"/>
          <w:sz w:val="24"/>
          <w:highlight w:val="none"/>
        </w:rPr>
        <w:t>份，乙方执</w:t>
      </w:r>
      <w:r>
        <w:rPr>
          <w:rFonts w:hint="eastAsia" w:hAnsi="宋体"/>
          <w:color w:val="auto"/>
          <w:sz w:val="24"/>
          <w:highlight w:val="none"/>
          <w:u w:val="single"/>
          <w:lang w:val="en-US" w:eastAsia="zh-CN"/>
        </w:rPr>
        <w:t xml:space="preserve">       </w:t>
      </w:r>
      <w:r>
        <w:rPr>
          <w:rFonts w:hint="eastAsia" w:hAnsi="宋体"/>
          <w:color w:val="auto"/>
          <w:sz w:val="24"/>
          <w:highlight w:val="none"/>
        </w:rPr>
        <w:t>份。</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Ansi="宋体"/>
          <w:color w:val="auto"/>
          <w:sz w:val="24"/>
          <w:szCs w:val="24"/>
          <w:highlight w:val="none"/>
        </w:rPr>
      </w:pPr>
      <w:r>
        <w:rPr>
          <w:rFonts w:hint="eastAsia" w:hAnsi="宋体"/>
          <w:color w:val="auto"/>
          <w:sz w:val="24"/>
          <w:szCs w:val="24"/>
          <w:highlight w:val="none"/>
        </w:rPr>
        <w:t>3</w:t>
      </w:r>
      <w:r>
        <w:rPr>
          <w:rFonts w:hint="eastAsia" w:hAnsi="宋体"/>
          <w:color w:val="auto"/>
          <w:sz w:val="24"/>
          <w:szCs w:val="24"/>
          <w:highlight w:val="none"/>
          <w:lang w:val="en-US" w:eastAsia="zh-CN"/>
        </w:rPr>
        <w:t>.</w:t>
      </w:r>
      <w:r>
        <w:rPr>
          <w:rFonts w:hint="eastAsia" w:hAnsi="宋体"/>
          <w:color w:val="auto"/>
          <w:sz w:val="24"/>
          <w:szCs w:val="24"/>
          <w:highlight w:val="none"/>
        </w:rPr>
        <w:t>本合同自法定（授权）代表签章并加盖公司印章之日起生效。</w:t>
      </w:r>
    </w:p>
    <w:p>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hAnsi="宋体"/>
          <w:b/>
          <w:color w:val="auto"/>
          <w:sz w:val="24"/>
          <w:szCs w:val="24"/>
          <w:highlight w:val="none"/>
        </w:rPr>
      </w:pPr>
      <w:r>
        <w:rPr>
          <w:rFonts w:hint="eastAsia" w:hAnsi="宋体"/>
          <w:color w:val="auto"/>
          <w:sz w:val="24"/>
          <w:szCs w:val="24"/>
          <w:highlight w:val="none"/>
        </w:rPr>
        <w:t>4</w:t>
      </w:r>
      <w:r>
        <w:rPr>
          <w:rFonts w:hint="eastAsia" w:hAnsi="宋体"/>
          <w:color w:val="auto"/>
          <w:sz w:val="24"/>
          <w:szCs w:val="24"/>
          <w:highlight w:val="none"/>
          <w:lang w:val="en-US" w:eastAsia="zh-CN"/>
        </w:rPr>
        <w:t>.</w:t>
      </w:r>
      <w:r>
        <w:rPr>
          <w:rFonts w:hint="eastAsia" w:hAnsi="宋体"/>
          <w:color w:val="auto"/>
          <w:sz w:val="24"/>
          <w:szCs w:val="24"/>
          <w:highlight w:val="none"/>
        </w:rPr>
        <w:t>其它未尽事宜，由双方友好协商解决，并签订补充协议。</w:t>
      </w:r>
    </w:p>
    <w:p>
      <w:pPr>
        <w:pStyle w:val="5"/>
        <w:spacing w:line="560" w:lineRule="exact"/>
        <w:rPr>
          <w:rFonts w:hint="eastAsia" w:hAnsi="宋体" w:eastAsia="宋体"/>
          <w:b/>
          <w:color w:val="auto"/>
          <w:sz w:val="24"/>
          <w:szCs w:val="24"/>
          <w:highlight w:val="none"/>
          <w:lang w:val="en-US" w:eastAsia="zh-CN"/>
        </w:rPr>
      </w:pPr>
      <w:r>
        <w:rPr>
          <w:rFonts w:hint="eastAsia" w:hAnsi="宋体"/>
          <w:b/>
          <w:color w:val="auto"/>
          <w:sz w:val="24"/>
          <w:szCs w:val="24"/>
          <w:highlight w:val="none"/>
          <w:lang w:val="en-US" w:eastAsia="zh-CN"/>
        </w:rPr>
        <w:t xml:space="preserve">                     （以下无正文）</w:t>
      </w:r>
    </w:p>
    <w:p>
      <w:pPr>
        <w:pStyle w:val="5"/>
        <w:spacing w:line="560" w:lineRule="exact"/>
        <w:ind w:firstLine="482" w:firstLineChars="200"/>
        <w:rPr>
          <w:rFonts w:hint="eastAsia" w:hAnsi="宋体"/>
          <w:b/>
          <w:color w:val="auto"/>
          <w:sz w:val="24"/>
          <w:szCs w:val="24"/>
          <w:highlight w:val="none"/>
        </w:rPr>
      </w:pPr>
    </w:p>
    <w:p>
      <w:pPr>
        <w:pStyle w:val="5"/>
        <w:spacing w:line="560" w:lineRule="exact"/>
        <w:ind w:firstLine="482" w:firstLineChars="200"/>
        <w:rPr>
          <w:rFonts w:hint="eastAsia" w:hAnsi="宋体"/>
          <w:b/>
          <w:color w:val="auto"/>
          <w:sz w:val="24"/>
          <w:szCs w:val="24"/>
          <w:highlight w:val="none"/>
        </w:rPr>
      </w:pPr>
    </w:p>
    <w:p>
      <w:pPr>
        <w:pStyle w:val="5"/>
        <w:spacing w:line="560" w:lineRule="exact"/>
        <w:ind w:firstLine="482" w:firstLineChars="200"/>
        <w:rPr>
          <w:rFonts w:hint="eastAsia" w:hAnsi="宋体"/>
          <w:b/>
          <w:color w:val="auto"/>
          <w:sz w:val="24"/>
          <w:szCs w:val="24"/>
          <w:highlight w:val="none"/>
        </w:rPr>
      </w:pP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甲方：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（盖章）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乙方：   </w:t>
      </w:r>
      <w:r>
        <w:rPr>
          <w:rFonts w:ascii="宋体" w:hAnsi="宋体" w:eastAsia="宋体"/>
          <w:color w:val="auto"/>
          <w:sz w:val="24"/>
          <w:highlight w:val="none"/>
        </w:rPr>
        <w:t xml:space="preserve">         </w:t>
      </w:r>
      <w:r>
        <w:rPr>
          <w:rFonts w:hint="eastAsia" w:ascii="宋体" w:hAnsi="宋体" w:eastAsia="宋体"/>
          <w:color w:val="auto"/>
          <w:sz w:val="24"/>
          <w:highlight w:val="none"/>
        </w:rPr>
        <w:t>（盖章）</w:t>
      </w:r>
    </w:p>
    <w:p>
      <w:pPr>
        <w:pStyle w:val="25"/>
        <w:spacing w:line="360" w:lineRule="auto"/>
        <w:ind w:firstLine="496"/>
        <w:rPr>
          <w:rFonts w:ascii="宋体" w:hAnsi="宋体" w:eastAsia="宋体"/>
          <w:bCs/>
          <w:color w:val="auto"/>
          <w:highlight w:val="none"/>
        </w:rPr>
      </w:pPr>
      <w:r>
        <w:rPr>
          <w:rFonts w:hint="eastAsia" w:ascii="宋体" w:hAnsi="宋体" w:eastAsia="宋体"/>
          <w:bCs/>
          <w:color w:val="auto"/>
          <w:highlight w:val="none"/>
        </w:rPr>
        <w:t xml:space="preserve">法定代表人（签字）：                </w:t>
      </w:r>
      <w:r>
        <w:rPr>
          <w:rFonts w:ascii="宋体" w:hAnsi="宋体" w:eastAsia="宋体"/>
          <w:bCs/>
          <w:color w:val="auto"/>
          <w:highlight w:val="none"/>
        </w:rPr>
        <w:t xml:space="preserve">   </w:t>
      </w:r>
      <w:r>
        <w:rPr>
          <w:rFonts w:hint="eastAsia" w:ascii="宋体" w:hAnsi="宋体" w:eastAsia="宋体"/>
          <w:bCs/>
          <w:color w:val="auto"/>
          <w:highlight w:val="none"/>
        </w:rPr>
        <w:t xml:space="preserve">法定代表人（签字）： </w:t>
      </w:r>
    </w:p>
    <w:p>
      <w:pPr>
        <w:pStyle w:val="25"/>
        <w:spacing w:line="360" w:lineRule="auto"/>
        <w:ind w:firstLine="496"/>
        <w:rPr>
          <w:rFonts w:ascii="宋体" w:hAnsi="宋体" w:eastAsia="宋体"/>
          <w:bCs/>
          <w:color w:val="auto"/>
          <w:highlight w:val="none"/>
        </w:rPr>
      </w:pPr>
      <w:r>
        <w:rPr>
          <w:rFonts w:hint="eastAsia" w:ascii="宋体" w:hAnsi="宋体" w:eastAsia="宋体"/>
          <w:bCs/>
          <w:color w:val="auto"/>
          <w:highlight w:val="none"/>
        </w:rPr>
        <w:t xml:space="preserve">或授权代表人（签字）：              </w:t>
      </w:r>
      <w:r>
        <w:rPr>
          <w:rFonts w:ascii="宋体" w:hAnsi="宋体" w:eastAsia="宋体"/>
          <w:bCs/>
          <w:color w:val="auto"/>
          <w:highlight w:val="none"/>
        </w:rPr>
        <w:t xml:space="preserve">   </w:t>
      </w:r>
      <w:r>
        <w:rPr>
          <w:rFonts w:hint="eastAsia" w:ascii="宋体" w:hAnsi="宋体" w:eastAsia="宋体"/>
          <w:bCs/>
          <w:color w:val="auto"/>
          <w:highlight w:val="none"/>
        </w:rPr>
        <w:t>或授权代表人（签字）：</w:t>
      </w:r>
    </w:p>
    <w:p>
      <w:pPr>
        <w:pStyle w:val="25"/>
        <w:spacing w:line="360" w:lineRule="auto"/>
        <w:ind w:firstLine="496"/>
        <w:rPr>
          <w:rFonts w:ascii="宋体" w:hAnsi="宋体" w:eastAsia="宋体"/>
          <w:color w:val="auto"/>
          <w:highlight w:val="none"/>
        </w:rPr>
      </w:pPr>
      <w:r>
        <w:rPr>
          <w:rFonts w:hint="eastAsia" w:ascii="宋体" w:hAnsi="宋体" w:eastAsia="宋体"/>
          <w:bCs/>
          <w:color w:val="auto"/>
          <w:highlight w:val="none"/>
        </w:rPr>
        <w:t>联系人：</w:t>
      </w:r>
      <w:r>
        <w:rPr>
          <w:rFonts w:ascii="宋体" w:hAnsi="宋体" w:eastAsia="宋体"/>
          <w:bCs/>
          <w:color w:val="auto"/>
          <w:highlight w:val="none"/>
        </w:rPr>
        <w:tab/>
      </w:r>
      <w:r>
        <w:rPr>
          <w:rFonts w:hint="eastAsia" w:ascii="宋体" w:hAnsi="宋体" w:eastAsia="宋体"/>
          <w:bCs/>
          <w:color w:val="auto"/>
          <w:highlight w:val="none"/>
        </w:rPr>
        <w:t xml:space="preserve">                          </w:t>
      </w:r>
      <w:r>
        <w:rPr>
          <w:rFonts w:ascii="宋体" w:hAnsi="宋体" w:eastAsia="宋体"/>
          <w:bCs/>
          <w:color w:val="auto"/>
          <w:highlight w:val="none"/>
        </w:rPr>
        <w:t xml:space="preserve">   </w:t>
      </w:r>
      <w:r>
        <w:rPr>
          <w:rFonts w:hint="eastAsia" w:ascii="宋体" w:hAnsi="宋体" w:eastAsia="宋体"/>
          <w:bCs/>
          <w:color w:val="auto"/>
          <w:highlight w:val="none"/>
        </w:rPr>
        <w:t>联系人：</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联系地址：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联系地址：</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开户银行：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开户银行：</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账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号：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账 </w:t>
      </w:r>
      <w:r>
        <w:rPr>
          <w:rFonts w:ascii="宋体" w:hAnsi="宋体" w:eastAsia="宋体"/>
          <w:color w:val="auto"/>
          <w:sz w:val="24"/>
          <w:highlight w:val="none"/>
        </w:rPr>
        <w:t xml:space="preserve">   </w:t>
      </w:r>
      <w:r>
        <w:rPr>
          <w:rFonts w:hint="eastAsia" w:ascii="宋体" w:hAnsi="宋体" w:eastAsia="宋体"/>
          <w:color w:val="auto"/>
          <w:sz w:val="24"/>
          <w:highlight w:val="none"/>
        </w:rPr>
        <w:t>号：</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电    话：                         </w:t>
      </w:r>
      <w:r>
        <w:rPr>
          <w:rFonts w:ascii="宋体" w:hAnsi="宋体" w:eastAsia="宋体"/>
          <w:color w:val="auto"/>
          <w:sz w:val="24"/>
          <w:highlight w:val="none"/>
        </w:rPr>
        <w:t xml:space="preserve">    </w:t>
      </w:r>
      <w:r>
        <w:rPr>
          <w:rFonts w:hint="eastAsia" w:ascii="宋体" w:hAnsi="宋体" w:eastAsia="宋体"/>
          <w:color w:val="auto"/>
          <w:sz w:val="24"/>
          <w:highlight w:val="none"/>
        </w:rPr>
        <w:t>电    话：</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传    真：                         </w:t>
      </w:r>
      <w:r>
        <w:rPr>
          <w:rFonts w:ascii="宋体" w:hAnsi="宋体" w:eastAsia="宋体"/>
          <w:color w:val="auto"/>
          <w:sz w:val="24"/>
          <w:highlight w:val="none"/>
        </w:rPr>
        <w:t xml:space="preserve">    </w:t>
      </w:r>
      <w:r>
        <w:rPr>
          <w:rFonts w:hint="eastAsia" w:ascii="宋体" w:hAnsi="宋体" w:eastAsia="宋体"/>
          <w:color w:val="auto"/>
          <w:sz w:val="24"/>
          <w:highlight w:val="none"/>
        </w:rPr>
        <w:t>传    真：</w:t>
      </w:r>
    </w:p>
    <w:p>
      <w:pPr>
        <w:ind w:firstLine="480" w:firstLineChars="200"/>
        <w:rPr>
          <w:color w:val="auto"/>
          <w:highlight w:val="none"/>
        </w:rPr>
      </w:pP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日 </w:t>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hint="eastAsia" w:ascii="宋体" w:hAnsi="宋体" w:eastAsia="宋体"/>
          <w:color w:val="auto"/>
          <w:sz w:val="24"/>
          <w:highlight w:val="none"/>
        </w:rPr>
        <w:tab/>
      </w:r>
      <w:r>
        <w:rPr>
          <w:rFonts w:ascii="宋体" w:hAnsi="宋体" w:eastAsia="宋体"/>
          <w:color w:val="auto"/>
          <w:sz w:val="24"/>
          <w:highlight w:val="none"/>
        </w:rPr>
        <w:t xml:space="preserve">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签约日期：</w:t>
      </w:r>
      <w:r>
        <w:rPr>
          <w:rFonts w:hint="eastAsia" w:ascii="宋体" w:hAnsi="宋体" w:eastAsia="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eastAsia="宋体"/>
          <w:color w:val="auto"/>
          <w:sz w:val="24"/>
          <w:highlight w:val="none"/>
          <w:lang w:eastAsia="zh-CN"/>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月 </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sectPr>
      <w:headerReference r:id="rId17" w:type="first"/>
      <w:headerReference r:id="rId15" w:type="default"/>
      <w:footerReference r:id="rId18" w:type="default"/>
      <w:headerReference r:id="rId16"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jc w:val="center"/>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51072;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3版&#10;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99F21A4"/>
    <w:multiLevelType w:val="singleLevel"/>
    <w:tmpl w:val="C99F21A4"/>
    <w:lvl w:ilvl="0" w:tentative="0">
      <w:start w:val="2"/>
      <w:numFmt w:val="chineseCounting"/>
      <w:suff w:val="nothing"/>
      <w:lvlText w:val="%1、"/>
      <w:lvlJc w:val="left"/>
      <w:rPr>
        <w:rFonts w:hint="eastAsia"/>
      </w:rPr>
    </w:lvl>
  </w:abstractNum>
  <w:abstractNum w:abstractNumId="2">
    <w:nsid w:val="D5B0F226"/>
    <w:multiLevelType w:val="singleLevel"/>
    <w:tmpl w:val="D5B0F226"/>
    <w:lvl w:ilvl="0" w:tentative="0">
      <w:start w:val="2"/>
      <w:numFmt w:val="decimal"/>
      <w:lvlText w:val="%1."/>
      <w:lvlJc w:val="left"/>
      <w:pPr>
        <w:tabs>
          <w:tab w:val="left" w:pos="312"/>
        </w:tabs>
      </w:pPr>
    </w:lvl>
  </w:abstractNum>
  <w:abstractNum w:abstractNumId="3">
    <w:nsid w:val="1027872C"/>
    <w:multiLevelType w:val="singleLevel"/>
    <w:tmpl w:val="1027872C"/>
    <w:lvl w:ilvl="0" w:tentative="0">
      <w:start w:val="1"/>
      <w:numFmt w:val="decimal"/>
      <w:suff w:val="nothing"/>
      <w:lvlText w:val="%1、"/>
      <w:lvlJc w:val="left"/>
    </w:lvl>
  </w:abstractNum>
  <w:abstractNum w:abstractNumId="4">
    <w:nsid w:val="2A3B5D6F"/>
    <w:multiLevelType w:val="singleLevel"/>
    <w:tmpl w:val="2A3B5D6F"/>
    <w:lvl w:ilvl="0" w:tentative="0">
      <w:start w:val="1"/>
      <w:numFmt w:val="decimal"/>
      <w:lvlText w:val="%1."/>
      <w:lvlJc w:val="left"/>
      <w:pPr>
        <w:tabs>
          <w:tab w:val="left" w:pos="312"/>
        </w:tabs>
      </w:pPr>
    </w:lvl>
  </w:abstractNum>
  <w:abstractNum w:abstractNumId="5">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36AC046F"/>
    <w:rsid w:val="038059BA"/>
    <w:rsid w:val="14C77FB1"/>
    <w:rsid w:val="1B763E42"/>
    <w:rsid w:val="2B1941AD"/>
    <w:rsid w:val="36AC046F"/>
    <w:rsid w:val="390A104A"/>
    <w:rsid w:val="3D51486C"/>
    <w:rsid w:val="424D0F9B"/>
    <w:rsid w:val="42FC30FC"/>
    <w:rsid w:val="48136B0B"/>
    <w:rsid w:val="4CA178C8"/>
    <w:rsid w:val="515C4042"/>
    <w:rsid w:val="51D16741"/>
    <w:rsid w:val="584B450D"/>
    <w:rsid w:val="5B466196"/>
    <w:rsid w:val="70C06CF4"/>
    <w:rsid w:val="715D22FE"/>
    <w:rsid w:val="7EFD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Indent"/>
    <w:basedOn w:val="1"/>
    <w:qFormat/>
    <w:uiPriority w:val="0"/>
    <w:pPr>
      <w:ind w:firstLine="630"/>
    </w:pPr>
    <w:rPr>
      <w:sz w:val="32"/>
      <w:szCs w:val="20"/>
    </w:rPr>
  </w:style>
  <w:style w:type="paragraph" w:styleId="5">
    <w:name w:val="Plain Text"/>
    <w:basedOn w:val="1"/>
    <w:qFormat/>
    <w:uiPriority w:val="0"/>
    <w:pPr>
      <w:autoSpaceDE w:val="0"/>
      <w:autoSpaceDN w:val="0"/>
      <w:adjustRightInd w:val="0"/>
    </w:pPr>
    <w:rPr>
      <w:rFonts w:ascii="宋体" w:hAnsi="Times New Roman"/>
      <w:kern w:val="0"/>
      <w:szCs w:val="20"/>
    </w:rPr>
  </w:style>
  <w:style w:type="paragraph" w:styleId="6">
    <w:name w:val="footer"/>
    <w:basedOn w:val="1"/>
    <w:qFormat/>
    <w:uiPriority w:val="99"/>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3">
    <w:name w:val="page number"/>
    <w:qFormat/>
    <w:uiPriority w:val="0"/>
  </w:style>
  <w:style w:type="character" w:styleId="14">
    <w:name w:val="Hyperlink"/>
    <w:qFormat/>
    <w:uiPriority w:val="99"/>
    <w:rPr>
      <w:color w:val="0000FF"/>
      <w:u w:val="single"/>
    </w:rPr>
  </w:style>
  <w:style w:type="character" w:styleId="15">
    <w:name w:val="annotation reference"/>
    <w:qFormat/>
    <w:uiPriority w:val="0"/>
    <w:rPr>
      <w:sz w:val="21"/>
      <w:szCs w:val="21"/>
    </w:rPr>
  </w:style>
  <w:style w:type="paragraph" w:customStyle="1" w:styleId="16">
    <w:name w:val="一级条标题"/>
    <w:basedOn w:val="17"/>
    <w:next w:val="18"/>
    <w:qFormat/>
    <w:uiPriority w:val="0"/>
    <w:pPr>
      <w:spacing w:line="240" w:lineRule="auto"/>
      <w:ind w:left="420"/>
      <w:outlineLvl w:val="2"/>
    </w:pPr>
  </w:style>
  <w:style w:type="paragraph" w:customStyle="1" w:styleId="1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9">
    <w:name w:val="正文首行缩进两字符"/>
    <w:basedOn w:val="1"/>
    <w:qFormat/>
    <w:uiPriority w:val="0"/>
    <w:pPr>
      <w:spacing w:line="360" w:lineRule="auto"/>
      <w:ind w:firstLine="200" w:firstLineChars="200"/>
    </w:pPr>
  </w:style>
  <w:style w:type="paragraph" w:styleId="20">
    <w:name w:val="List Paragraph"/>
    <w:basedOn w:val="1"/>
    <w:qFormat/>
    <w:uiPriority w:val="0"/>
    <w:pPr>
      <w:ind w:firstLine="42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3"/>
    <w:qFormat/>
    <w:uiPriority w:val="9"/>
    <w:rPr>
      <w:b/>
      <w:bCs/>
      <w:sz w:val="32"/>
      <w:szCs w:val="32"/>
    </w:rPr>
  </w:style>
  <w:style w:type="paragraph" w:customStyle="1" w:styleId="24">
    <w:name w:val="列出段落1"/>
    <w:basedOn w:val="1"/>
    <w:qFormat/>
    <w:uiPriority w:val="34"/>
    <w:pPr>
      <w:ind w:firstLine="420" w:firstLineChars="200"/>
    </w:pPr>
    <w:rPr>
      <w:rFonts w:ascii="Calibri" w:hAnsi="Calibri" w:eastAsia="宋体" w:cs="Times New Roman"/>
      <w:szCs w:val="22"/>
    </w:rPr>
  </w:style>
  <w:style w:type="paragraph" w:customStyle="1" w:styleId="2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15374</Words>
  <Characters>16976</Characters>
  <Lines>0</Lines>
  <Paragraphs>0</Paragraphs>
  <TotalTime>1</TotalTime>
  <ScaleCrop>false</ScaleCrop>
  <LinksUpToDate>false</LinksUpToDate>
  <CharactersWithSpaces>17250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2024-03-28T02:41:00Z</dcterms:created>
  <dc:creator>咖啡</dc:creator>
  <cp:lastModifiedBy>咖啡</cp:lastModifiedBy>
  <dcterms:modified xsi:type="dcterms:W3CDTF">2025-09-12T09:01:54Z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06A8E703224442C7BA1EDD21C2C63138</vt:lpwstr>
  </property>
  <property fmtid="{D5CDD505-2E9C-101B-9397-08002B2CF9AE}" pid="4" name="KSOTemplateDocerSaveRecord">
    <vt:lpwstr>eyJoZGlkIjoiMzUwYjE5NTVhOWFkN2E0ZjJmNmZhY2FlN2IwMDhlZGYiLCJ1c2VySWQiOiIxNDc1ODI5MDc2In0=</vt:lpwstr>
  </property>
</Properties>
</file>